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768EC">
      <w:pPr>
        <w:jc w:val="center"/>
        <w:rPr>
          <w:rFonts w:asciiTheme="minorEastAsia" w:hAnsiTheme="minorEastAsia" w:cstheme="minorEastAsia"/>
          <w:sz w:val="44"/>
          <w:szCs w:val="44"/>
        </w:rPr>
      </w:pPr>
    </w:p>
    <w:p w14:paraId="5BCE3DAC">
      <w:pPr>
        <w:pageBreakBefore w:val="0"/>
        <w:widowControl w:val="0"/>
        <w:kinsoku/>
        <w:wordWrap/>
        <w:overflowPunct/>
        <w:topLinePunct w:val="0"/>
        <w:autoSpaceDE/>
        <w:autoSpaceDN/>
        <w:bidi w:val="0"/>
        <w:adjustRightInd/>
        <w:spacing w:line="550" w:lineRule="exact"/>
        <w:ind w:firstLine="0" w:firstLineChars="0"/>
        <w:jc w:val="center"/>
        <w:textAlignment w:val="auto"/>
        <w:rPr>
          <w:rFonts w:hint="eastAsia" w:ascii="宋体" w:hAnsi="宋体" w:eastAsia="宋体" w:cs="宋体"/>
          <w:kern w:val="2"/>
          <w:sz w:val="44"/>
          <w:szCs w:val="44"/>
          <w:lang w:val="en-US" w:eastAsia="zh-CN"/>
        </w:rPr>
      </w:pPr>
      <w:r>
        <w:rPr>
          <w:rFonts w:hint="eastAsia" w:ascii="宋体" w:hAnsi="宋体" w:eastAsia="宋体" w:cs="宋体"/>
          <w:kern w:val="2"/>
          <w:sz w:val="44"/>
          <w:szCs w:val="44"/>
          <w:lang w:val="en-US" w:eastAsia="zh-CN"/>
        </w:rPr>
        <w:t>彰武县人民政府办公室关于印发《彰武县矿业项目以联营方式办理集体建设用地审批</w:t>
      </w:r>
    </w:p>
    <w:p w14:paraId="63F57A3B">
      <w:pPr>
        <w:pageBreakBefore w:val="0"/>
        <w:widowControl w:val="0"/>
        <w:kinsoku/>
        <w:wordWrap/>
        <w:overflowPunct/>
        <w:topLinePunct w:val="0"/>
        <w:autoSpaceDE/>
        <w:autoSpaceDN/>
        <w:bidi w:val="0"/>
        <w:adjustRightInd/>
        <w:spacing w:line="550" w:lineRule="exact"/>
        <w:ind w:firstLine="0" w:firstLineChars="0"/>
        <w:jc w:val="center"/>
        <w:textAlignment w:val="auto"/>
        <w:rPr>
          <w:rFonts w:hint="eastAsia" w:ascii="宋体" w:hAnsi="宋体" w:eastAsia="宋体" w:cs="宋体"/>
          <w:color w:val="000000"/>
          <w:sz w:val="44"/>
          <w:szCs w:val="44"/>
          <w:lang w:val="en-US"/>
        </w:rPr>
      </w:pPr>
      <w:r>
        <w:rPr>
          <w:rFonts w:hint="eastAsia" w:ascii="宋体" w:hAnsi="宋体" w:eastAsia="宋体" w:cs="宋体"/>
          <w:kern w:val="2"/>
          <w:sz w:val="44"/>
          <w:szCs w:val="44"/>
          <w:lang w:val="en-US" w:eastAsia="zh-CN"/>
        </w:rPr>
        <w:t>的指导意见（试行）》的通知</w:t>
      </w:r>
    </w:p>
    <w:p w14:paraId="62C087EA">
      <w:pPr>
        <w:widowControl/>
        <w:jc w:val="center"/>
        <w:rPr>
          <w:rFonts w:hint="eastAsia" w:ascii="仿宋_GB2312" w:eastAsia="仿宋_GB2312" w:cs="Times New Roman"/>
          <w:sz w:val="34"/>
          <w:szCs w:val="34"/>
        </w:rPr>
      </w:pPr>
    </w:p>
    <w:p w14:paraId="7B5E8328">
      <w:pPr>
        <w:widowControl/>
        <w:jc w:val="center"/>
        <w:rPr>
          <w:rFonts w:hint="eastAsia" w:ascii="仿宋_GB2312" w:hAnsi="仿宋_GB2312" w:eastAsia="仿宋_GB2312" w:cs="仿宋_GB2312"/>
          <w:color w:val="000000"/>
          <w:sz w:val="32"/>
          <w:szCs w:val="32"/>
        </w:rPr>
      </w:pPr>
      <w:r>
        <w:rPr>
          <w:rFonts w:hint="eastAsia" w:ascii="仿宋_GB2312" w:eastAsia="仿宋_GB2312" w:cs="Times New Roman"/>
          <w:sz w:val="32"/>
          <w:szCs w:val="32"/>
        </w:rPr>
        <w:t>彰政</w:t>
      </w:r>
      <w:r>
        <w:rPr>
          <w:rFonts w:hint="eastAsia" w:ascii="仿宋_GB2312" w:eastAsia="仿宋_GB2312" w:cs="Times New Roman"/>
          <w:sz w:val="32"/>
          <w:szCs w:val="32"/>
          <w:lang w:val="en-US" w:eastAsia="zh-CN"/>
        </w:rPr>
        <w:t>办</w:t>
      </w:r>
      <w:r>
        <w:rPr>
          <w:rFonts w:hint="eastAsia" w:ascii="仿宋_GB2312" w:eastAsia="仿宋_GB2312" w:cs="Times New Roman"/>
          <w:sz w:val="32"/>
          <w:szCs w:val="32"/>
        </w:rPr>
        <w:t>〔202</w:t>
      </w:r>
      <w:r>
        <w:rPr>
          <w:rFonts w:hint="eastAsia" w:ascii="仿宋_GB2312" w:eastAsia="仿宋_GB2312" w:cs="Times New Roman"/>
          <w:sz w:val="32"/>
          <w:szCs w:val="32"/>
          <w:lang w:val="en-US" w:eastAsia="zh-CN"/>
        </w:rPr>
        <w:t>5</w:t>
      </w:r>
      <w:r>
        <w:rPr>
          <w:rFonts w:hint="eastAsia" w:ascii="仿宋_GB2312" w:eastAsia="仿宋_GB2312" w:cs="Times New Roman"/>
          <w:sz w:val="32"/>
          <w:szCs w:val="32"/>
        </w:rPr>
        <w:t>〕</w:t>
      </w:r>
      <w:r>
        <w:rPr>
          <w:rFonts w:hint="eastAsia" w:ascii="仿宋_GB2312" w:eastAsia="仿宋_GB2312" w:cs="Times New Roman"/>
          <w:sz w:val="32"/>
          <w:szCs w:val="32"/>
          <w:lang w:val="en-US" w:eastAsia="zh-CN"/>
        </w:rPr>
        <w:t>34</w:t>
      </w:r>
      <w:r>
        <w:rPr>
          <w:rFonts w:hint="eastAsia" w:ascii="仿宋_GB2312" w:eastAsia="仿宋_GB2312" w:cs="Times New Roman"/>
          <w:sz w:val="32"/>
          <w:szCs w:val="32"/>
        </w:rPr>
        <w:t>号</w:t>
      </w:r>
    </w:p>
    <w:p w14:paraId="509A73B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6FB64E2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各乡镇人民政府，县政府有关部门</w:t>
      </w:r>
      <w:r>
        <w:rPr>
          <w:rFonts w:hint="eastAsia" w:ascii="仿宋_GB2312" w:hAnsi="仿宋_GB2312" w:eastAsia="仿宋_GB2312" w:cs="仿宋_GB2312"/>
          <w:color w:val="auto"/>
          <w:sz w:val="32"/>
          <w:szCs w:val="32"/>
          <w:lang w:val="en-US" w:eastAsia="zh-CN"/>
        </w:rPr>
        <w:t>：</w:t>
      </w:r>
    </w:p>
    <w:p w14:paraId="50E43806">
      <w:pPr>
        <w:keepNext w:val="0"/>
        <w:keepLines w:val="0"/>
        <w:pageBreakBefore w:val="0"/>
        <w:widowControl w:val="0"/>
        <w:kinsoku/>
        <w:wordWrap/>
        <w:overflowPunct/>
        <w:topLinePunct w:val="0"/>
        <w:autoSpaceDE/>
        <w:autoSpaceDN/>
        <w:bidi w:val="0"/>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《彰武县矿业项目以联营方式办理集体建设用地审批的指导意见（试行）》业经县政府常务会议审议通过，现印发给你们，请遵照执行。</w:t>
      </w:r>
    </w:p>
    <w:p w14:paraId="47BDD3EB">
      <w:pPr>
        <w:keepNext w:val="0"/>
        <w:keepLines w:val="0"/>
        <w:pageBreakBefore w:val="0"/>
        <w:widowControl w:val="0"/>
        <w:kinsoku/>
        <w:wordWrap/>
        <w:overflowPunct/>
        <w:topLinePunct w:val="0"/>
        <w:autoSpaceDE/>
        <w:autoSpaceDN/>
        <w:bidi w:val="0"/>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p>
    <w:p w14:paraId="3D9E7B44">
      <w:pPr>
        <w:keepNext w:val="0"/>
        <w:keepLines w:val="0"/>
        <w:pageBreakBefore w:val="0"/>
        <w:widowControl w:val="0"/>
        <w:kinsoku/>
        <w:wordWrap/>
        <w:overflowPunct/>
        <w:topLinePunct w:val="0"/>
        <w:autoSpaceDE/>
        <w:autoSpaceDN/>
        <w:bidi w:val="0"/>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p>
    <w:p w14:paraId="4806F3FD">
      <w:pPr>
        <w:keepNext w:val="0"/>
        <w:keepLines w:val="0"/>
        <w:pageBreakBefore w:val="0"/>
        <w:widowControl w:val="0"/>
        <w:kinsoku/>
        <w:wordWrap/>
        <w:overflowPunct/>
        <w:topLinePunct w:val="0"/>
        <w:autoSpaceDE/>
        <w:autoSpaceDN/>
        <w:bidi w:val="0"/>
        <w:spacing w:line="500" w:lineRule="exact"/>
        <w:jc w:val="both"/>
        <w:textAlignment w:val="auto"/>
        <w:rPr>
          <w:rFonts w:hint="eastAsia" w:ascii="仿宋_GB2312" w:hAnsi="仿宋_GB2312" w:eastAsia="仿宋_GB2312" w:cs="仿宋_GB2312"/>
          <w:b w:val="0"/>
          <w:bCs/>
          <w:sz w:val="32"/>
          <w:szCs w:val="32"/>
          <w:lang w:val="en-US" w:eastAsia="zh-CN"/>
        </w:rPr>
      </w:pPr>
    </w:p>
    <w:p w14:paraId="30F8C6A2">
      <w:pPr>
        <w:spacing w:line="540" w:lineRule="exact"/>
        <w:ind w:firstLine="4800" w:firstLineChars="1500"/>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彰武县人民政府办公室</w:t>
      </w:r>
    </w:p>
    <w:p w14:paraId="4ED08613">
      <w:pPr>
        <w:spacing w:line="540" w:lineRule="exact"/>
        <w:ind w:firstLine="640" w:firstLineChars="200"/>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2025年9月26日</w:t>
      </w:r>
    </w:p>
    <w:p w14:paraId="7B709D9B">
      <w:pPr>
        <w:spacing w:line="560" w:lineRule="exact"/>
        <w:jc w:val="left"/>
        <w:rPr>
          <w:rFonts w:hint="eastAsia" w:ascii="仿宋_GB2312" w:hAnsi="仿宋_GB2312" w:eastAsia="仿宋_GB2312" w:cs="仿宋_GB2312"/>
          <w:color w:val="000000"/>
          <w:position w:val="-6"/>
          <w:sz w:val="32"/>
          <w:szCs w:val="32"/>
        </w:rPr>
      </w:pPr>
      <w:r>
        <w:rPr>
          <w:rFonts w:hint="eastAsia" w:ascii="仿宋_GB2312" w:hAnsi="仿宋_GB2312" w:eastAsia="仿宋_GB2312" w:cs="仿宋_GB2312"/>
          <w:b w:val="0"/>
          <w:bCs/>
          <w:sz w:val="32"/>
          <w:szCs w:val="32"/>
          <w:lang w:val="en-US" w:eastAsia="zh-CN"/>
        </w:rPr>
        <w:t>（此件公开发布）</w:t>
      </w:r>
      <w:r>
        <w:rPr>
          <w:rFonts w:hint="eastAsia" w:ascii="仿宋_GB2312" w:hAnsi="仿宋_GB2312" w:eastAsia="仿宋_GB2312" w:cs="仿宋_GB2312"/>
          <w:color w:val="000000"/>
          <w:position w:val="-6"/>
          <w:sz w:val="32"/>
          <w:szCs w:val="32"/>
        </w:rPr>
        <w:br w:type="textWrapping"/>
      </w:r>
    </w:p>
    <w:p w14:paraId="783315C3">
      <w:pPr>
        <w:spacing w:line="560" w:lineRule="exact"/>
        <w:ind w:firstLine="6163" w:firstLineChars="1926"/>
        <w:jc w:val="left"/>
        <w:rPr>
          <w:rFonts w:hint="eastAsia" w:ascii="仿宋_GB2312" w:hAnsi="仿宋_GB2312" w:eastAsia="仿宋_GB2312" w:cs="仿宋_GB2312"/>
          <w:color w:val="000000"/>
          <w:position w:val="-6"/>
          <w:sz w:val="32"/>
          <w:szCs w:val="32"/>
        </w:rPr>
      </w:pPr>
    </w:p>
    <w:p w14:paraId="07EFE695">
      <w:pPr>
        <w:spacing w:line="560" w:lineRule="exact"/>
        <w:ind w:firstLine="6163" w:firstLineChars="1926"/>
        <w:jc w:val="left"/>
        <w:rPr>
          <w:rFonts w:hint="eastAsia" w:ascii="仿宋_GB2312" w:hAnsi="仿宋_GB2312" w:eastAsia="仿宋_GB2312" w:cs="仿宋_GB2312"/>
          <w:color w:val="000000"/>
          <w:position w:val="-6"/>
          <w:sz w:val="32"/>
          <w:szCs w:val="32"/>
        </w:rPr>
      </w:pPr>
    </w:p>
    <w:p w14:paraId="49268DF6">
      <w:pPr>
        <w:spacing w:line="560" w:lineRule="exact"/>
        <w:ind w:firstLine="6163" w:firstLineChars="1926"/>
        <w:jc w:val="left"/>
        <w:rPr>
          <w:rFonts w:hint="eastAsia" w:ascii="仿宋_GB2312" w:hAnsi="仿宋_GB2312" w:eastAsia="仿宋_GB2312" w:cs="仿宋_GB2312"/>
          <w:color w:val="000000"/>
          <w:position w:val="-6"/>
          <w:sz w:val="32"/>
          <w:szCs w:val="32"/>
        </w:rPr>
      </w:pPr>
    </w:p>
    <w:p w14:paraId="72D578D4">
      <w:pPr>
        <w:spacing w:line="560" w:lineRule="exact"/>
        <w:ind w:firstLine="6163" w:firstLineChars="1926"/>
        <w:jc w:val="left"/>
        <w:rPr>
          <w:rFonts w:hint="eastAsia" w:ascii="仿宋_GB2312" w:hAnsi="仿宋_GB2312" w:eastAsia="仿宋_GB2312" w:cs="仿宋_GB2312"/>
          <w:color w:val="000000"/>
          <w:position w:val="-6"/>
          <w:sz w:val="32"/>
          <w:szCs w:val="32"/>
        </w:rPr>
      </w:pPr>
    </w:p>
    <w:p w14:paraId="094D3A49">
      <w:pPr>
        <w:spacing w:line="560" w:lineRule="exact"/>
        <w:ind w:firstLine="6163" w:firstLineChars="1926"/>
        <w:jc w:val="left"/>
        <w:rPr>
          <w:rFonts w:hint="eastAsia" w:ascii="仿宋_GB2312" w:hAnsi="仿宋_GB2312" w:eastAsia="仿宋_GB2312" w:cs="仿宋_GB2312"/>
          <w:color w:val="000000"/>
          <w:position w:val="-6"/>
          <w:sz w:val="32"/>
          <w:szCs w:val="32"/>
        </w:rPr>
      </w:pPr>
    </w:p>
    <w:p w14:paraId="27C6AEF1">
      <w:pPr>
        <w:spacing w:line="560" w:lineRule="exact"/>
        <w:ind w:firstLine="6163" w:firstLineChars="1926"/>
        <w:jc w:val="left"/>
        <w:rPr>
          <w:rFonts w:hint="eastAsia" w:ascii="仿宋_GB2312" w:hAnsi="仿宋_GB2312" w:eastAsia="仿宋_GB2312" w:cs="仿宋_GB2312"/>
          <w:color w:val="000000"/>
          <w:position w:val="-6"/>
          <w:sz w:val="32"/>
          <w:szCs w:val="32"/>
        </w:rPr>
      </w:pPr>
    </w:p>
    <w:p w14:paraId="0FE31CBE">
      <w:pPr>
        <w:spacing w:line="560" w:lineRule="exact"/>
        <w:ind w:firstLine="5440" w:firstLineChars="1700"/>
        <w:jc w:val="left"/>
        <w:rPr>
          <w:rFonts w:hint="eastAsia" w:ascii="仿宋_GB2312" w:hAnsi="仿宋_GB2312" w:eastAsia="仿宋_GB2312" w:cs="仿宋_GB2312"/>
          <w:color w:val="000000"/>
          <w:position w:val="-6"/>
          <w:sz w:val="32"/>
          <w:szCs w:val="32"/>
        </w:rPr>
      </w:pPr>
    </w:p>
    <w:p w14:paraId="1C3A6186">
      <w:pPr>
        <w:pStyle w:val="7"/>
        <w:keepNext w:val="0"/>
        <w:keepLines w:val="0"/>
        <w:pageBreakBefore w:val="0"/>
        <w:widowControl/>
        <w:kinsoku/>
        <w:wordWrap/>
        <w:overflowPunct/>
        <w:topLinePunct w:val="0"/>
        <w:autoSpaceDE/>
        <w:autoSpaceDN/>
        <w:bidi w:val="0"/>
        <w:adjustRightInd/>
        <w:snapToGrid/>
        <w:spacing w:before="150" w:beforeAutospacing="0" w:after="150" w:afterAutospacing="0" w:line="60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kern w:val="2"/>
          <w:sz w:val="32"/>
          <w:szCs w:val="32"/>
          <w:lang w:val="en-US" w:eastAsia="zh-CN" w:bidi="ar-SA"/>
        </w:rPr>
        <w:t>彰武县矿业项目以联营方式办理集体建设用地审批的指导意见（试行）</w:t>
      </w:r>
    </w:p>
    <w:p w14:paraId="41062095">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第一章 总 则</w:t>
      </w:r>
    </w:p>
    <w:p w14:paraId="6B14C3B5">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sz w:val="32"/>
          <w:szCs w:val="32"/>
        </w:rPr>
      </w:pPr>
      <w:r>
        <w:rPr>
          <w:rStyle w:val="10"/>
          <w:rFonts w:hint="eastAsia" w:ascii="黑体" w:hAnsi="黑体" w:eastAsia="黑体" w:cs="黑体"/>
          <w:b w:val="0"/>
          <w:bCs/>
          <w:color w:val="auto"/>
          <w:sz w:val="32"/>
          <w:szCs w:val="32"/>
        </w:rPr>
        <w:t>第一条</w:t>
      </w:r>
      <w:r>
        <w:rPr>
          <w:rFonts w:hint="eastAsia" w:ascii="仿宋_GB2312" w:hAnsi="仿宋_GB2312" w:eastAsia="仿宋_GB2312" w:cs="仿宋_GB2312"/>
          <w:b w:val="0"/>
          <w:bCs/>
          <w:color w:val="auto"/>
          <w:sz w:val="32"/>
          <w:szCs w:val="32"/>
        </w:rPr>
        <w:t> </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pacing w:val="3"/>
          <w:sz w:val="32"/>
          <w:szCs w:val="32"/>
        </w:rPr>
        <w:t>保障矿业项目用地合理需求</w:t>
      </w:r>
      <w:r>
        <w:rPr>
          <w:rFonts w:hint="eastAsia" w:ascii="仿宋_GB2312" w:hAnsi="仿宋_GB2312" w:eastAsia="仿宋_GB2312" w:cs="仿宋_GB2312"/>
          <w:color w:val="auto"/>
          <w:sz w:val="32"/>
          <w:szCs w:val="32"/>
        </w:rPr>
        <w:t>，健全土地供应制度体系，有效保障产业项目用地需求，壮大集体经济，助推乡村振兴，根据</w:t>
      </w:r>
      <w:r>
        <w:rPr>
          <w:rFonts w:hint="eastAsia" w:ascii="仿宋_GB2312" w:hAnsi="仿宋_GB2312" w:eastAsia="仿宋_GB2312" w:cs="仿宋_GB2312"/>
          <w:color w:val="auto"/>
          <w:spacing w:val="2"/>
          <w:sz w:val="32"/>
          <w:szCs w:val="32"/>
        </w:rPr>
        <w:t>《自然资源部关于做好采矿用地保障的通知》</w:t>
      </w:r>
      <w:r>
        <w:rPr>
          <w:rFonts w:hint="eastAsia" w:ascii="仿宋_GB2312" w:hAnsi="仿宋_GB2312" w:eastAsia="仿宋_GB2312" w:cs="仿宋_GB2312"/>
          <w:color w:val="auto"/>
          <w:spacing w:val="1"/>
          <w:sz w:val="32"/>
          <w:szCs w:val="32"/>
        </w:rPr>
        <w:t>(自</w:t>
      </w:r>
      <w:r>
        <w:rPr>
          <w:rFonts w:hint="eastAsia" w:ascii="仿宋_GB2312" w:hAnsi="仿宋_GB2312" w:eastAsia="仿宋_GB2312" w:cs="仿宋_GB2312"/>
          <w:color w:val="auto"/>
          <w:spacing w:val="10"/>
          <w:sz w:val="32"/>
          <w:szCs w:val="32"/>
        </w:rPr>
        <w:t>然资发〔2022〕202号)和《关于</w:t>
      </w:r>
      <w:r>
        <w:rPr>
          <w:rFonts w:hint="eastAsia" w:ascii="仿宋_GB2312" w:hAnsi="仿宋_GB2312" w:eastAsia="仿宋_GB2312" w:cs="仿宋_GB2312"/>
          <w:color w:val="auto"/>
          <w:spacing w:val="9"/>
          <w:sz w:val="32"/>
          <w:szCs w:val="32"/>
        </w:rPr>
        <w:t>进一步做好采</w:t>
      </w:r>
      <w:r>
        <w:rPr>
          <w:rFonts w:hint="eastAsia" w:ascii="仿宋_GB2312" w:hAnsi="仿宋_GB2312" w:eastAsia="仿宋_GB2312" w:cs="仿宋_GB2312"/>
          <w:color w:val="auto"/>
          <w:spacing w:val="12"/>
          <w:sz w:val="32"/>
          <w:szCs w:val="32"/>
        </w:rPr>
        <w:t>矿用地保障工作的通知》(辽自然资发〔2023〕104号)文件要求</w:t>
      </w:r>
      <w:r>
        <w:rPr>
          <w:rFonts w:hint="eastAsia" w:ascii="仿宋_GB2312" w:hAnsi="仿宋_GB2312" w:eastAsia="仿宋_GB2312" w:cs="仿宋_GB2312"/>
          <w:color w:val="auto"/>
          <w:sz w:val="32"/>
          <w:szCs w:val="32"/>
        </w:rPr>
        <w:t>，结合我县实际，制定本指导意见。</w:t>
      </w:r>
    </w:p>
    <w:p w14:paraId="66583FA2">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color w:val="auto"/>
          <w:sz w:val="32"/>
          <w:szCs w:val="32"/>
          <w:lang w:eastAsia="zh-CN"/>
        </w:rPr>
      </w:pPr>
      <w:r>
        <w:rPr>
          <w:rStyle w:val="10"/>
          <w:rFonts w:hint="eastAsia" w:ascii="黑体" w:hAnsi="黑体" w:eastAsia="黑体" w:cs="黑体"/>
          <w:b w:val="0"/>
          <w:bCs/>
          <w:color w:val="auto"/>
          <w:sz w:val="32"/>
          <w:szCs w:val="32"/>
        </w:rPr>
        <w:t>第</w:t>
      </w:r>
      <w:r>
        <w:rPr>
          <w:rStyle w:val="10"/>
          <w:rFonts w:hint="eastAsia" w:ascii="黑体" w:hAnsi="黑体" w:eastAsia="黑体" w:cs="黑体"/>
          <w:b w:val="0"/>
          <w:bCs/>
          <w:color w:val="auto"/>
          <w:sz w:val="32"/>
          <w:szCs w:val="32"/>
          <w:highlight w:val="none"/>
        </w:rPr>
        <w:t>二条</w:t>
      </w:r>
      <w:r>
        <w:rPr>
          <w:rFonts w:hint="eastAsia" w:ascii="仿宋_GB2312" w:hAnsi="仿宋_GB2312" w:eastAsia="仿宋_GB2312" w:cs="仿宋_GB2312"/>
          <w:color w:val="auto"/>
          <w:sz w:val="32"/>
          <w:szCs w:val="32"/>
          <w:highlight w:val="none"/>
        </w:rPr>
        <w:t> </w:t>
      </w:r>
      <w:r>
        <w:rPr>
          <w:rFonts w:hint="eastAsia" w:ascii="仿宋_GB2312" w:hAnsi="仿宋_GB2312" w:eastAsia="仿宋_GB2312" w:cs="仿宋_GB2312"/>
          <w:color w:val="auto"/>
          <w:spacing w:val="10"/>
          <w:sz w:val="32"/>
          <w:szCs w:val="32"/>
          <w:highlight w:val="none"/>
        </w:rPr>
        <w:t>本县行政区域内以联营方式办理矿业项目集体建设</w:t>
      </w:r>
      <w:r>
        <w:rPr>
          <w:rFonts w:hint="eastAsia" w:ascii="仿宋_GB2312" w:hAnsi="仿宋_GB2312" w:eastAsia="仿宋_GB2312" w:cs="仿宋_GB2312"/>
          <w:color w:val="auto"/>
          <w:spacing w:val="11"/>
          <w:sz w:val="32"/>
          <w:szCs w:val="32"/>
          <w:highlight w:val="none"/>
        </w:rPr>
        <w:t>用地审批适用本指导意见。本指导意见所称</w:t>
      </w:r>
      <w:r>
        <w:rPr>
          <w:rFonts w:hint="eastAsia" w:ascii="仿宋_GB2312" w:hAnsi="仿宋_GB2312" w:eastAsia="仿宋_GB2312" w:cs="仿宋_GB2312"/>
          <w:color w:val="auto"/>
          <w:spacing w:val="11"/>
          <w:sz w:val="32"/>
          <w:szCs w:val="32"/>
          <w:highlight w:val="none"/>
          <w:lang w:eastAsia="zh-CN"/>
        </w:rPr>
        <w:t>联营双方是指集体经济组织和矿业企业，</w:t>
      </w:r>
      <w:r>
        <w:rPr>
          <w:rFonts w:hint="eastAsia" w:ascii="仿宋_GB2312" w:hAnsi="仿宋_GB2312" w:eastAsia="仿宋_GB2312" w:cs="仿宋_GB2312"/>
          <w:color w:val="auto"/>
          <w:spacing w:val="11"/>
          <w:sz w:val="32"/>
          <w:szCs w:val="32"/>
          <w:highlight w:val="none"/>
        </w:rPr>
        <w:t>联营指双方各自以财产、技术、劳务、土地使用权等出资，共同经营，由联营双方以</w:t>
      </w:r>
      <w:r>
        <w:rPr>
          <w:rFonts w:hint="eastAsia" w:ascii="仿宋_GB2312" w:hAnsi="仿宋_GB2312" w:eastAsia="仿宋_GB2312" w:cs="仿宋_GB2312"/>
          <w:color w:val="auto"/>
          <w:spacing w:val="12"/>
          <w:sz w:val="32"/>
          <w:szCs w:val="32"/>
          <w:highlight w:val="none"/>
        </w:rPr>
        <w:t>各自所有或经营管</w:t>
      </w:r>
      <w:r>
        <w:rPr>
          <w:rFonts w:hint="eastAsia" w:ascii="仿宋_GB2312" w:hAnsi="仿宋_GB2312" w:eastAsia="仿宋_GB2312" w:cs="仿宋_GB2312"/>
          <w:color w:val="auto"/>
          <w:spacing w:val="12"/>
          <w:sz w:val="32"/>
          <w:szCs w:val="32"/>
        </w:rPr>
        <w:t>理的财产承担民事责任的合伙</w:t>
      </w:r>
      <w:r>
        <w:rPr>
          <w:rFonts w:hint="eastAsia" w:ascii="仿宋_GB2312" w:hAnsi="仿宋_GB2312" w:eastAsia="仿宋_GB2312" w:cs="仿宋_GB2312"/>
          <w:color w:val="auto"/>
          <w:spacing w:val="11"/>
          <w:sz w:val="32"/>
          <w:szCs w:val="32"/>
        </w:rPr>
        <w:t>型联营</w:t>
      </w:r>
      <w:r>
        <w:rPr>
          <w:rFonts w:hint="eastAsia" w:ascii="仿宋_GB2312" w:hAnsi="仿宋_GB2312" w:eastAsia="仿宋_GB2312" w:cs="仿宋_GB2312"/>
          <w:color w:val="auto"/>
          <w:spacing w:val="11"/>
          <w:sz w:val="32"/>
          <w:szCs w:val="32"/>
          <w:lang w:eastAsia="zh-CN"/>
        </w:rPr>
        <w:t>。</w:t>
      </w:r>
    </w:p>
    <w:p w14:paraId="7C5D2038">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Style w:val="10"/>
          <w:rFonts w:hint="eastAsia" w:ascii="黑体" w:hAnsi="黑体" w:eastAsia="黑体" w:cs="黑体"/>
          <w:b w:val="0"/>
          <w:bCs/>
          <w:color w:val="auto"/>
          <w:sz w:val="32"/>
          <w:szCs w:val="32"/>
        </w:rPr>
        <w:t>第三条</w:t>
      </w:r>
      <w:r>
        <w:rPr>
          <w:rFonts w:hint="eastAsia" w:ascii="仿宋_GB2312" w:hAnsi="仿宋_GB2312" w:eastAsia="仿宋_GB2312" w:cs="仿宋_GB2312"/>
          <w:color w:val="auto"/>
          <w:sz w:val="32"/>
          <w:szCs w:val="32"/>
        </w:rPr>
        <w:t>  申请使用集体建设用地的项目应符合相关产业政策及生态环境保护规定。</w:t>
      </w:r>
    </w:p>
    <w:p w14:paraId="2B5C504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第二章</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rPr>
        <w:t>审批条件</w:t>
      </w:r>
    </w:p>
    <w:p w14:paraId="61B9CB87">
      <w:pPr>
        <w:keepNext w:val="0"/>
        <w:keepLines w:val="0"/>
        <w:pageBreakBefore w:val="0"/>
        <w:kinsoku/>
        <w:wordWrap/>
        <w:overflowPunct/>
        <w:topLinePunct w:val="0"/>
        <w:autoSpaceDE/>
        <w:autoSpaceDN/>
        <w:bidi w:val="0"/>
        <w:adjustRightInd/>
        <w:snapToGrid/>
        <w:spacing w:line="560" w:lineRule="exact"/>
        <w:ind w:left="0" w:right="0" w:firstLine="68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pacing w:val="10"/>
          <w:sz w:val="32"/>
          <w:szCs w:val="32"/>
        </w:rPr>
        <w:t>第四条</w:t>
      </w:r>
      <w:r>
        <w:rPr>
          <w:rFonts w:hint="eastAsia" w:ascii="仿宋_GB2312" w:hAnsi="仿宋_GB2312" w:eastAsia="仿宋_GB2312" w:cs="仿宋_GB2312"/>
          <w:b/>
          <w:bCs/>
          <w:color w:val="auto"/>
          <w:spacing w:val="10"/>
          <w:sz w:val="32"/>
          <w:szCs w:val="32"/>
          <w:lang w:val="en-US" w:eastAsia="zh-CN"/>
        </w:rPr>
        <w:t xml:space="preserve"> </w:t>
      </w:r>
      <w:r>
        <w:rPr>
          <w:rFonts w:hint="eastAsia" w:ascii="仿宋_GB2312" w:hAnsi="仿宋_GB2312" w:eastAsia="仿宋_GB2312" w:cs="仿宋_GB2312"/>
          <w:color w:val="auto"/>
          <w:spacing w:val="10"/>
          <w:sz w:val="32"/>
          <w:szCs w:val="32"/>
        </w:rPr>
        <w:t>拟用于联营的农村集体建设用地须符合国土空间规</w:t>
      </w:r>
      <w:r>
        <w:rPr>
          <w:rFonts w:hint="eastAsia" w:ascii="仿宋_GB2312" w:hAnsi="仿宋_GB2312" w:eastAsia="仿宋_GB2312" w:cs="仿宋_GB2312"/>
          <w:color w:val="auto"/>
          <w:spacing w:val="11"/>
          <w:sz w:val="32"/>
          <w:szCs w:val="32"/>
        </w:rPr>
        <w:t>划；须产权清晰并已经依法办理</w:t>
      </w:r>
      <w:r>
        <w:rPr>
          <w:rFonts w:hint="eastAsia" w:ascii="仿宋_GB2312" w:hAnsi="仿宋_GB2312" w:eastAsia="仿宋_GB2312" w:cs="仿宋_GB2312"/>
          <w:color w:val="auto"/>
          <w:spacing w:val="10"/>
          <w:sz w:val="32"/>
          <w:szCs w:val="32"/>
        </w:rPr>
        <w:t>土地所有权登记；占用现状非建设用地须先行办理农用地转用审</w:t>
      </w:r>
      <w:r>
        <w:rPr>
          <w:rFonts w:hint="eastAsia" w:ascii="仿宋_GB2312" w:hAnsi="仿宋_GB2312" w:eastAsia="仿宋_GB2312" w:cs="仿宋_GB2312"/>
          <w:color w:val="auto"/>
          <w:spacing w:val="-1"/>
          <w:sz w:val="32"/>
          <w:szCs w:val="32"/>
        </w:rPr>
        <w:t>批手续后</w:t>
      </w:r>
      <w:r>
        <w:rPr>
          <w:rFonts w:hint="eastAsia" w:ascii="仿宋_GB2312" w:hAnsi="仿宋_GB2312" w:eastAsia="仿宋_GB2312" w:cs="仿宋_GB2312"/>
          <w:color w:val="auto"/>
          <w:spacing w:val="-1"/>
          <w:sz w:val="32"/>
          <w:szCs w:val="32"/>
          <w:highlight w:val="none"/>
        </w:rPr>
        <w:t>依法申请使用。</w:t>
      </w:r>
    </w:p>
    <w:p w14:paraId="2C06C902">
      <w:pPr>
        <w:pStyle w:val="2"/>
        <w:keepNext w:val="0"/>
        <w:keepLines w:val="0"/>
        <w:pageBreakBefore w:val="0"/>
        <w:kinsoku/>
        <w:wordWrap/>
        <w:overflowPunct/>
        <w:topLinePunct w:val="0"/>
        <w:autoSpaceDE/>
        <w:autoSpaceDN/>
        <w:bidi w:val="0"/>
        <w:adjustRightInd/>
        <w:snapToGrid/>
        <w:spacing w:line="560" w:lineRule="exact"/>
        <w:ind w:left="0" w:leftChars="0" w:right="0" w:firstLine="68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pacing w:val="10"/>
          <w:sz w:val="32"/>
          <w:szCs w:val="32"/>
          <w:highlight w:val="none"/>
        </w:rPr>
        <w:t>第五条</w:t>
      </w:r>
      <w:r>
        <w:rPr>
          <w:rFonts w:hint="eastAsia" w:ascii="仿宋_GB2312" w:hAnsi="仿宋_GB2312" w:eastAsia="仿宋_GB2312" w:cs="仿宋_GB2312"/>
          <w:b/>
          <w:bCs/>
          <w:color w:val="auto"/>
          <w:spacing w:val="10"/>
          <w:sz w:val="32"/>
          <w:szCs w:val="32"/>
          <w:highlight w:val="none"/>
          <w:lang w:val="en-US" w:eastAsia="zh-CN"/>
        </w:rPr>
        <w:t xml:space="preserve"> </w:t>
      </w:r>
      <w:r>
        <w:rPr>
          <w:rFonts w:hint="eastAsia" w:ascii="仿宋_GB2312" w:hAnsi="仿宋_GB2312" w:eastAsia="仿宋_GB2312" w:cs="仿宋_GB2312"/>
          <w:color w:val="auto"/>
          <w:spacing w:val="10"/>
          <w:sz w:val="32"/>
          <w:szCs w:val="32"/>
          <w:highlight w:val="none"/>
        </w:rPr>
        <w:t>办理用地审批手续前，农村集体经济组织依法收回</w:t>
      </w:r>
      <w:r>
        <w:rPr>
          <w:rFonts w:hint="eastAsia" w:ascii="仿宋_GB2312" w:hAnsi="仿宋_GB2312" w:eastAsia="仿宋_GB2312" w:cs="仿宋_GB2312"/>
          <w:color w:val="auto"/>
          <w:spacing w:val="11"/>
          <w:sz w:val="32"/>
          <w:szCs w:val="32"/>
          <w:highlight w:val="none"/>
        </w:rPr>
        <w:t>土地承包经营权，涉及的土地承包经营权补偿费、地上附着物补偿费及土地审批中相关税费、用地指标费用，</w:t>
      </w:r>
      <w:r>
        <w:rPr>
          <w:rFonts w:hint="eastAsia" w:ascii="仿宋_GB2312" w:hAnsi="仿宋_GB2312" w:eastAsia="仿宋_GB2312" w:cs="仿宋_GB2312"/>
          <w:color w:val="auto"/>
          <w:spacing w:val="11"/>
          <w:sz w:val="32"/>
          <w:szCs w:val="32"/>
          <w:highlight w:val="none"/>
          <w:lang w:val="en-US" w:eastAsia="zh-CN"/>
        </w:rPr>
        <w:t>原则上由农村集体经济组织支付，农村集体经济组织经济有困难的可由联营企业先行垫付相关费用，再按《农村集体经济组织与矿山企业联营合同》的约定各自承担的比例。资金存入乡镇政府监管账户按协议支付农户，防止资金挪用风险。</w:t>
      </w:r>
      <w:r>
        <w:rPr>
          <w:rFonts w:hint="eastAsia" w:ascii="仿宋_GB2312" w:hAnsi="仿宋_GB2312" w:eastAsia="仿宋_GB2312" w:cs="仿宋_GB2312"/>
          <w:color w:val="auto"/>
          <w:spacing w:val="11"/>
          <w:sz w:val="32"/>
          <w:szCs w:val="32"/>
          <w:highlight w:val="none"/>
        </w:rPr>
        <w:t>收回土地承</w:t>
      </w:r>
      <w:r>
        <w:rPr>
          <w:rFonts w:hint="eastAsia" w:ascii="仿宋_GB2312" w:hAnsi="仿宋_GB2312" w:eastAsia="仿宋_GB2312" w:cs="仿宋_GB2312"/>
          <w:color w:val="auto"/>
          <w:spacing w:val="5"/>
          <w:sz w:val="32"/>
          <w:szCs w:val="32"/>
          <w:highlight w:val="none"/>
        </w:rPr>
        <w:t>包经营权补偿费可参照征地区片综合地价执行。</w:t>
      </w:r>
    </w:p>
    <w:p w14:paraId="2843AF4F">
      <w:pPr>
        <w:keepNext w:val="0"/>
        <w:keepLines w:val="0"/>
        <w:pageBreakBefore w:val="0"/>
        <w:kinsoku/>
        <w:wordWrap/>
        <w:overflowPunct/>
        <w:topLinePunct w:val="0"/>
        <w:autoSpaceDE/>
        <w:autoSpaceDN/>
        <w:bidi w:val="0"/>
        <w:adjustRightInd/>
        <w:snapToGrid/>
        <w:spacing w:line="560" w:lineRule="exact"/>
        <w:ind w:left="0" w:right="0" w:firstLine="688" w:firstLineChars="200"/>
        <w:textAlignment w:val="auto"/>
        <w:rPr>
          <w:rFonts w:hint="eastAsia" w:ascii="仿宋_GB2312" w:hAnsi="仿宋_GB2312" w:eastAsia="仿宋_GB2312" w:cs="仿宋_GB2312"/>
          <w:color w:val="auto"/>
          <w:spacing w:val="4"/>
          <w:sz w:val="32"/>
          <w:szCs w:val="32"/>
        </w:rPr>
      </w:pPr>
      <w:r>
        <w:rPr>
          <w:rFonts w:hint="eastAsia" w:ascii="黑体" w:hAnsi="黑体" w:eastAsia="黑体" w:cs="黑体"/>
          <w:b w:val="0"/>
          <w:bCs w:val="0"/>
          <w:color w:val="auto"/>
          <w:spacing w:val="12"/>
          <w:sz w:val="32"/>
          <w:szCs w:val="32"/>
        </w:rPr>
        <w:t>第六条</w:t>
      </w:r>
      <w:r>
        <w:rPr>
          <w:rFonts w:hint="eastAsia" w:ascii="仿宋_GB2312" w:hAnsi="仿宋_GB2312" w:eastAsia="仿宋_GB2312" w:cs="仿宋_GB2312"/>
          <w:b/>
          <w:bCs/>
          <w:color w:val="auto"/>
          <w:spacing w:val="12"/>
          <w:sz w:val="32"/>
          <w:szCs w:val="32"/>
          <w:lang w:val="en-US" w:eastAsia="zh-CN"/>
        </w:rPr>
        <w:t xml:space="preserve"> </w:t>
      </w:r>
      <w:r>
        <w:rPr>
          <w:rFonts w:hint="eastAsia" w:ascii="仿宋_GB2312" w:hAnsi="仿宋_GB2312" w:eastAsia="仿宋_GB2312" w:cs="仿宋_GB2312"/>
          <w:color w:val="auto"/>
          <w:spacing w:val="12"/>
          <w:sz w:val="32"/>
          <w:szCs w:val="32"/>
        </w:rPr>
        <w:t>联营的土地使用期限由双方合同约定，不得超过同</w:t>
      </w:r>
      <w:r>
        <w:rPr>
          <w:rFonts w:hint="eastAsia" w:ascii="仿宋_GB2312" w:hAnsi="仿宋_GB2312" w:eastAsia="仿宋_GB2312" w:cs="仿宋_GB2312"/>
          <w:color w:val="auto"/>
          <w:spacing w:val="4"/>
          <w:sz w:val="32"/>
          <w:szCs w:val="32"/>
        </w:rPr>
        <w:t>类用途国有建设用地使用权出让的最高年限。</w:t>
      </w:r>
    </w:p>
    <w:p w14:paraId="3B47EAE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第三章</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rPr>
        <w:t>审批流程</w:t>
      </w:r>
    </w:p>
    <w:p w14:paraId="31AF4BE9">
      <w:pPr>
        <w:keepNext w:val="0"/>
        <w:keepLines w:val="0"/>
        <w:pageBreakBefore w:val="0"/>
        <w:kinsoku/>
        <w:wordWrap/>
        <w:overflowPunct/>
        <w:topLinePunct w:val="0"/>
        <w:autoSpaceDE/>
        <w:autoSpaceDN/>
        <w:bidi w:val="0"/>
        <w:adjustRightInd/>
        <w:snapToGrid/>
        <w:spacing w:line="560" w:lineRule="exact"/>
        <w:ind w:left="0" w:right="0" w:firstLine="68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pacing w:val="10"/>
          <w:sz w:val="32"/>
          <w:szCs w:val="32"/>
        </w:rPr>
        <w:t>第七条</w:t>
      </w:r>
      <w:r>
        <w:rPr>
          <w:rFonts w:hint="eastAsia" w:ascii="仿宋_GB2312" w:hAnsi="仿宋_GB2312" w:eastAsia="仿宋_GB2312" w:cs="仿宋_GB2312"/>
          <w:b/>
          <w:bCs/>
          <w:color w:val="auto"/>
          <w:spacing w:val="10"/>
          <w:sz w:val="32"/>
          <w:szCs w:val="32"/>
          <w:lang w:val="en-US" w:eastAsia="zh-CN"/>
        </w:rPr>
        <w:t xml:space="preserve"> </w:t>
      </w:r>
      <w:r>
        <w:rPr>
          <w:rFonts w:hint="eastAsia" w:ascii="仿宋_GB2312" w:hAnsi="仿宋_GB2312" w:eastAsia="仿宋_GB2312" w:cs="仿宋_GB2312"/>
          <w:color w:val="auto"/>
          <w:spacing w:val="10"/>
          <w:sz w:val="32"/>
          <w:szCs w:val="32"/>
        </w:rPr>
        <w:t>以联营方式办理矿业项目集体建设用地使用权，经</w:t>
      </w:r>
      <w:r>
        <w:rPr>
          <w:rFonts w:hint="eastAsia" w:ascii="仿宋_GB2312" w:hAnsi="仿宋_GB2312" w:eastAsia="仿宋_GB2312" w:cs="仿宋_GB2312"/>
          <w:color w:val="auto"/>
          <w:spacing w:val="14"/>
          <w:sz w:val="32"/>
          <w:szCs w:val="32"/>
        </w:rPr>
        <w:t>村民代表大会三分之二以上村民代表同意，形成</w:t>
      </w:r>
      <w:r>
        <w:rPr>
          <w:rFonts w:hint="eastAsia" w:ascii="仿宋_GB2312" w:hAnsi="仿宋_GB2312" w:eastAsia="仿宋_GB2312" w:cs="仿宋_GB2312"/>
          <w:color w:val="auto"/>
          <w:spacing w:val="6"/>
          <w:sz w:val="32"/>
          <w:szCs w:val="32"/>
        </w:rPr>
        <w:t>《农村集体建设用地联营方案》明确</w:t>
      </w:r>
      <w:r>
        <w:rPr>
          <w:rFonts w:hint="eastAsia" w:ascii="仿宋_GB2312" w:hAnsi="仿宋_GB2312" w:eastAsia="仿宋_GB2312" w:cs="仿宋_GB2312"/>
          <w:color w:val="auto"/>
          <w:spacing w:val="11"/>
          <w:sz w:val="32"/>
          <w:szCs w:val="32"/>
        </w:rPr>
        <w:t>联营使用土地单</w:t>
      </w:r>
      <w:r>
        <w:rPr>
          <w:rFonts w:hint="eastAsia" w:ascii="仿宋_GB2312" w:hAnsi="仿宋_GB2312" w:eastAsia="仿宋_GB2312" w:cs="仿宋_GB2312"/>
          <w:color w:val="auto"/>
          <w:spacing w:val="5"/>
          <w:sz w:val="32"/>
          <w:szCs w:val="32"/>
        </w:rPr>
        <w:t>位名称，签订</w:t>
      </w:r>
      <w:r>
        <w:rPr>
          <w:rFonts w:hint="eastAsia" w:ascii="仿宋_GB2312" w:hAnsi="仿宋_GB2312" w:eastAsia="仿宋_GB2312" w:cs="仿宋_GB2312"/>
          <w:color w:val="auto"/>
          <w:spacing w:val="11"/>
          <w:sz w:val="32"/>
          <w:szCs w:val="32"/>
        </w:rPr>
        <w:t>《集体建设用地使用权联营合同》</w:t>
      </w:r>
      <w:r>
        <w:rPr>
          <w:rFonts w:hint="eastAsia" w:ascii="仿宋_GB2312" w:hAnsi="仿宋_GB2312" w:eastAsia="仿宋_GB2312" w:cs="仿宋_GB2312"/>
          <w:color w:val="auto"/>
          <w:spacing w:val="14"/>
          <w:sz w:val="32"/>
          <w:szCs w:val="32"/>
        </w:rPr>
        <w:t>并报乡(镇)政府</w:t>
      </w:r>
      <w:r>
        <w:rPr>
          <w:rFonts w:hint="eastAsia" w:ascii="仿宋_GB2312" w:hAnsi="仿宋_GB2312" w:eastAsia="仿宋_GB2312" w:cs="仿宋_GB2312"/>
          <w:color w:val="auto"/>
          <w:spacing w:val="14"/>
          <w:sz w:val="32"/>
          <w:szCs w:val="32"/>
          <w:lang w:eastAsia="zh-CN"/>
        </w:rPr>
        <w:t>备案</w:t>
      </w:r>
      <w:r>
        <w:rPr>
          <w:rFonts w:hint="eastAsia" w:ascii="仿宋_GB2312" w:hAnsi="仿宋_GB2312" w:eastAsia="仿宋_GB2312" w:cs="仿宋_GB2312"/>
          <w:color w:val="auto"/>
          <w:spacing w:val="14"/>
          <w:sz w:val="32"/>
          <w:szCs w:val="32"/>
        </w:rPr>
        <w:t>，</w:t>
      </w:r>
      <w:r>
        <w:rPr>
          <w:rFonts w:hint="eastAsia" w:ascii="仿宋_GB2312" w:hAnsi="仿宋_GB2312" w:eastAsia="仿宋_GB2312" w:cs="仿宋_GB2312"/>
          <w:color w:val="auto"/>
          <w:spacing w:val="11"/>
          <w:sz w:val="32"/>
          <w:szCs w:val="32"/>
        </w:rPr>
        <w:t>集体土地使用权可以由联营使用土地单位使用，</w:t>
      </w:r>
      <w:bookmarkStart w:id="0" w:name="OLE_LINK16"/>
      <w:bookmarkStart w:id="1" w:name="OLE_LINK15"/>
      <w:r>
        <w:rPr>
          <w:rFonts w:hint="eastAsia" w:ascii="仿宋_GB2312" w:hAnsi="仿宋_GB2312" w:eastAsia="仿宋_GB2312" w:cs="仿宋_GB2312"/>
          <w:color w:val="auto"/>
          <w:spacing w:val="11"/>
          <w:sz w:val="32"/>
          <w:szCs w:val="32"/>
        </w:rPr>
        <w:t>联营使用土地单</w:t>
      </w:r>
      <w:r>
        <w:rPr>
          <w:rFonts w:hint="eastAsia" w:ascii="仿宋_GB2312" w:hAnsi="仿宋_GB2312" w:eastAsia="仿宋_GB2312" w:cs="仿宋_GB2312"/>
          <w:color w:val="auto"/>
          <w:spacing w:val="5"/>
          <w:sz w:val="32"/>
          <w:szCs w:val="32"/>
        </w:rPr>
        <w:t>位</w:t>
      </w:r>
      <w:bookmarkEnd w:id="0"/>
      <w:bookmarkEnd w:id="1"/>
      <w:r>
        <w:rPr>
          <w:rFonts w:hint="eastAsia" w:ascii="仿宋_GB2312" w:hAnsi="仿宋_GB2312" w:eastAsia="仿宋_GB2312" w:cs="仿宋_GB2312"/>
          <w:color w:val="auto"/>
          <w:spacing w:val="5"/>
          <w:sz w:val="32"/>
          <w:szCs w:val="32"/>
        </w:rPr>
        <w:t>可作为用地主体办理相关审批手续。</w:t>
      </w:r>
    </w:p>
    <w:p w14:paraId="7B2E700E">
      <w:pPr>
        <w:keepNext w:val="0"/>
        <w:keepLines w:val="0"/>
        <w:pageBreakBefore w:val="0"/>
        <w:kinsoku/>
        <w:wordWrap/>
        <w:overflowPunct/>
        <w:topLinePunct w:val="0"/>
        <w:autoSpaceDE/>
        <w:autoSpaceDN/>
        <w:bidi w:val="0"/>
        <w:adjustRightInd/>
        <w:snapToGrid/>
        <w:spacing w:line="560" w:lineRule="exact"/>
        <w:ind w:left="0" w:right="0" w:firstLine="692" w:firstLineChars="200"/>
        <w:textAlignment w:val="auto"/>
        <w:outlineLvl w:val="2"/>
        <w:rPr>
          <w:rFonts w:hint="eastAsia" w:ascii="黑体" w:hAnsi="黑体" w:eastAsia="黑体" w:cs="黑体"/>
          <w:b w:val="0"/>
          <w:bCs w:val="0"/>
          <w:color w:val="auto"/>
          <w:sz w:val="32"/>
          <w:szCs w:val="32"/>
        </w:rPr>
      </w:pPr>
      <w:r>
        <w:rPr>
          <w:rFonts w:hint="eastAsia" w:ascii="黑体" w:hAnsi="黑体" w:eastAsia="黑体" w:cs="黑体"/>
          <w:b w:val="0"/>
          <w:bCs w:val="0"/>
          <w:color w:val="auto"/>
          <w:spacing w:val="13"/>
          <w:sz w:val="32"/>
          <w:szCs w:val="32"/>
        </w:rPr>
        <w:t>(一)审批材料及要求：</w:t>
      </w:r>
    </w:p>
    <w:p w14:paraId="49A571ED">
      <w:pPr>
        <w:keepNext w:val="0"/>
        <w:keepLines w:val="0"/>
        <w:pageBreakBefore w:val="0"/>
        <w:kinsoku/>
        <w:wordWrap/>
        <w:overflowPunct/>
        <w:topLinePunct w:val="0"/>
        <w:autoSpaceDE/>
        <w:autoSpaceDN/>
        <w:bidi w:val="0"/>
        <w:adjustRightInd/>
        <w:snapToGrid/>
        <w:spacing w:line="560" w:lineRule="exact"/>
        <w:ind w:left="0" w:right="0" w:firstLine="688"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2"/>
          <w:sz w:val="32"/>
          <w:szCs w:val="32"/>
        </w:rPr>
        <w:t>1.用地主体报请发改等有批准权的部门办理立项、</w:t>
      </w:r>
      <w:r>
        <w:rPr>
          <w:rFonts w:hint="eastAsia" w:ascii="仿宋_GB2312" w:hAnsi="仿宋_GB2312" w:eastAsia="仿宋_GB2312" w:cs="仿宋_GB2312"/>
          <w:color w:val="auto"/>
          <w:spacing w:val="11"/>
          <w:sz w:val="32"/>
          <w:szCs w:val="32"/>
        </w:rPr>
        <w:t>核准或备</w:t>
      </w:r>
      <w:r>
        <w:rPr>
          <w:rFonts w:hint="eastAsia" w:ascii="仿宋_GB2312" w:hAnsi="仿宋_GB2312" w:eastAsia="仿宋_GB2312" w:cs="仿宋_GB2312"/>
          <w:color w:val="auto"/>
          <w:spacing w:val="-6"/>
          <w:sz w:val="32"/>
          <w:szCs w:val="32"/>
        </w:rPr>
        <w:t>案文件；</w:t>
      </w:r>
    </w:p>
    <w:p w14:paraId="15D4E23D">
      <w:pPr>
        <w:keepNext w:val="0"/>
        <w:keepLines w:val="0"/>
        <w:pageBreakBefore w:val="0"/>
        <w:kinsoku/>
        <w:wordWrap/>
        <w:overflowPunct/>
        <w:topLinePunct w:val="0"/>
        <w:autoSpaceDE/>
        <w:autoSpaceDN/>
        <w:bidi w:val="0"/>
        <w:adjustRightInd/>
        <w:snapToGrid/>
        <w:spacing w:line="560" w:lineRule="exact"/>
        <w:ind w:left="0" w:right="0" w:firstLine="688"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2"/>
          <w:sz w:val="32"/>
          <w:szCs w:val="32"/>
        </w:rPr>
        <w:t>2.用地主体报请生态环境等有批准权的部门办理环评批</w:t>
      </w:r>
      <w:r>
        <w:rPr>
          <w:rFonts w:hint="eastAsia" w:ascii="仿宋_GB2312" w:hAnsi="仿宋_GB2312" w:eastAsia="仿宋_GB2312" w:cs="仿宋_GB2312"/>
          <w:color w:val="auto"/>
          <w:spacing w:val="11"/>
          <w:sz w:val="32"/>
          <w:szCs w:val="32"/>
        </w:rPr>
        <w:t>复文</w:t>
      </w:r>
      <w:r>
        <w:rPr>
          <w:rFonts w:hint="eastAsia" w:ascii="仿宋_GB2312" w:hAnsi="仿宋_GB2312" w:eastAsia="仿宋_GB2312" w:cs="仿宋_GB2312"/>
          <w:color w:val="auto"/>
          <w:spacing w:val="-8"/>
          <w:sz w:val="32"/>
          <w:szCs w:val="32"/>
        </w:rPr>
        <w:t>件；</w:t>
      </w:r>
    </w:p>
    <w:p w14:paraId="4D46DE26">
      <w:pPr>
        <w:keepNext w:val="0"/>
        <w:keepLines w:val="0"/>
        <w:pageBreakBefore w:val="0"/>
        <w:kinsoku/>
        <w:wordWrap/>
        <w:overflowPunct/>
        <w:topLinePunct w:val="0"/>
        <w:autoSpaceDE/>
        <w:autoSpaceDN/>
        <w:bidi w:val="0"/>
        <w:adjustRightInd/>
        <w:snapToGrid/>
        <w:spacing w:line="560" w:lineRule="exact"/>
        <w:ind w:left="0" w:right="0" w:firstLine="65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3.用地主体报请县国土资源部门出具的规划条件；</w:t>
      </w:r>
    </w:p>
    <w:p w14:paraId="60F5A259">
      <w:pPr>
        <w:keepNext w:val="0"/>
        <w:keepLines w:val="0"/>
        <w:pageBreakBefore w:val="0"/>
        <w:kinsoku/>
        <w:wordWrap/>
        <w:overflowPunct/>
        <w:topLinePunct w:val="0"/>
        <w:autoSpaceDE/>
        <w:autoSpaceDN/>
        <w:bidi w:val="0"/>
        <w:adjustRightInd/>
        <w:snapToGrid/>
        <w:spacing w:line="560" w:lineRule="exact"/>
        <w:ind w:left="0" w:right="0" w:firstLine="66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6"/>
          <w:sz w:val="32"/>
          <w:szCs w:val="32"/>
          <w:highlight w:val="none"/>
        </w:rPr>
        <w:t>4.</w:t>
      </w:r>
      <w:bookmarkStart w:id="2" w:name="OLE_LINK13"/>
      <w:bookmarkStart w:id="3" w:name="OLE_LINK14"/>
      <w:r>
        <w:rPr>
          <w:rFonts w:hint="eastAsia" w:ascii="仿宋_GB2312" w:hAnsi="仿宋_GB2312" w:eastAsia="仿宋_GB2312" w:cs="仿宋_GB2312"/>
          <w:color w:val="auto"/>
          <w:spacing w:val="6"/>
          <w:sz w:val="32"/>
          <w:szCs w:val="32"/>
          <w:highlight w:val="none"/>
        </w:rPr>
        <w:t>《农村集体建设用地联营方案》</w:t>
      </w:r>
      <w:bookmarkEnd w:id="2"/>
      <w:bookmarkEnd w:id="3"/>
      <w:r>
        <w:rPr>
          <w:rFonts w:hint="eastAsia" w:ascii="仿宋_GB2312" w:hAnsi="仿宋_GB2312" w:eastAsia="仿宋_GB2312" w:cs="仿宋_GB2312"/>
          <w:color w:val="auto"/>
          <w:spacing w:val="9"/>
          <w:sz w:val="32"/>
          <w:szCs w:val="32"/>
          <w:highlight w:val="none"/>
        </w:rPr>
        <w:t>应载明土地界址、用途、面积、规划条件、使用年限、</w:t>
      </w:r>
      <w:r>
        <w:rPr>
          <w:rFonts w:hint="eastAsia" w:ascii="仿宋_GB2312" w:hAnsi="仿宋_GB2312" w:eastAsia="仿宋_GB2312" w:cs="仿宋_GB2312"/>
          <w:color w:val="auto"/>
          <w:spacing w:val="22"/>
          <w:sz w:val="32"/>
          <w:szCs w:val="32"/>
          <w:highlight w:val="none"/>
        </w:rPr>
        <w:t>集体收益分配安排等内容。联营方案由乡(镇)政府在县政府门</w:t>
      </w:r>
      <w:r>
        <w:rPr>
          <w:rFonts w:hint="eastAsia" w:ascii="仿宋_GB2312" w:hAnsi="仿宋_GB2312" w:eastAsia="仿宋_GB2312" w:cs="仿宋_GB2312"/>
          <w:color w:val="auto"/>
          <w:spacing w:val="12"/>
          <w:sz w:val="32"/>
          <w:szCs w:val="32"/>
          <w:highlight w:val="none"/>
        </w:rPr>
        <w:t>户网站</w:t>
      </w:r>
      <w:r>
        <w:rPr>
          <w:rFonts w:hint="eastAsia" w:ascii="仿宋_GB2312" w:hAnsi="仿宋_GB2312" w:eastAsia="仿宋_GB2312" w:cs="仿宋_GB2312"/>
          <w:color w:val="auto"/>
          <w:spacing w:val="12"/>
          <w:sz w:val="32"/>
          <w:szCs w:val="32"/>
          <w:highlight w:val="none"/>
          <w:lang w:eastAsia="zh-CN"/>
        </w:rPr>
        <w:t>进行</w:t>
      </w:r>
      <w:r>
        <w:rPr>
          <w:rFonts w:hint="eastAsia" w:ascii="仿宋_GB2312" w:hAnsi="仿宋_GB2312" w:eastAsia="仿宋_GB2312" w:cs="仿宋_GB2312"/>
          <w:color w:val="auto"/>
          <w:spacing w:val="12"/>
          <w:sz w:val="32"/>
          <w:szCs w:val="32"/>
          <w:highlight w:val="none"/>
        </w:rPr>
        <w:t>公示公告，公告期不少于7日；</w:t>
      </w:r>
    </w:p>
    <w:p w14:paraId="028020BC">
      <w:pPr>
        <w:keepNext w:val="0"/>
        <w:keepLines w:val="0"/>
        <w:pageBreakBefore w:val="0"/>
        <w:kinsoku/>
        <w:wordWrap/>
        <w:overflowPunct/>
        <w:topLinePunct w:val="0"/>
        <w:autoSpaceDE/>
        <w:autoSpaceDN/>
        <w:bidi w:val="0"/>
        <w:adjustRightInd/>
        <w:snapToGrid/>
        <w:spacing w:line="560" w:lineRule="exact"/>
        <w:ind w:left="0" w:right="0"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highlight w:val="none"/>
        </w:rPr>
        <w:t>5.</w:t>
      </w:r>
      <w:bookmarkStart w:id="4" w:name="OLE_LINK17"/>
      <w:bookmarkStart w:id="5" w:name="OLE_LINK18"/>
      <w:r>
        <w:rPr>
          <w:rFonts w:hint="eastAsia" w:ascii="仿宋_GB2312" w:hAnsi="仿宋_GB2312" w:eastAsia="仿宋_GB2312" w:cs="仿宋_GB2312"/>
          <w:color w:val="auto"/>
          <w:spacing w:val="-1"/>
          <w:sz w:val="32"/>
          <w:szCs w:val="32"/>
          <w:highlight w:val="none"/>
        </w:rPr>
        <w:t>《农村集体经济组织与矿山企业联营</w:t>
      </w:r>
      <w:r>
        <w:rPr>
          <w:rFonts w:hint="eastAsia" w:ascii="仿宋_GB2312" w:hAnsi="仿宋_GB2312" w:eastAsia="仿宋_GB2312" w:cs="仿宋_GB2312"/>
          <w:color w:val="auto"/>
          <w:spacing w:val="-1"/>
          <w:sz w:val="32"/>
          <w:szCs w:val="32"/>
        </w:rPr>
        <w:t>合同》</w:t>
      </w:r>
      <w:bookmarkEnd w:id="4"/>
      <w:bookmarkEnd w:id="5"/>
      <w:r>
        <w:rPr>
          <w:rFonts w:hint="eastAsia" w:ascii="仿宋_GB2312" w:hAnsi="仿宋_GB2312" w:eastAsia="仿宋_GB2312" w:cs="仿宋_GB2312"/>
          <w:color w:val="auto"/>
          <w:spacing w:val="-1"/>
          <w:sz w:val="32"/>
          <w:szCs w:val="32"/>
        </w:rPr>
        <w:t>,联营合</w:t>
      </w:r>
      <w:r>
        <w:rPr>
          <w:rFonts w:hint="eastAsia" w:ascii="仿宋_GB2312" w:hAnsi="仿宋_GB2312" w:eastAsia="仿宋_GB2312" w:cs="仿宋_GB2312"/>
          <w:color w:val="auto"/>
          <w:spacing w:val="12"/>
          <w:sz w:val="32"/>
          <w:szCs w:val="32"/>
        </w:rPr>
        <w:t>同应当载明土地界址、面积、用途、规划条件、</w:t>
      </w:r>
      <w:r>
        <w:rPr>
          <w:rFonts w:hint="eastAsia" w:ascii="仿宋_GB2312" w:hAnsi="仿宋_GB2312" w:eastAsia="仿宋_GB2312" w:cs="仿宋_GB2312"/>
          <w:color w:val="auto"/>
          <w:spacing w:val="11"/>
          <w:sz w:val="32"/>
          <w:szCs w:val="32"/>
        </w:rPr>
        <w:t>使用期限、联营方式与联营费用(股权分红)、支付方式、交地时间和开工竣工期限、产业准入和生态环境保护要求，约定提前收回的条件、补偿方式、土地使用权届满续期和地上建筑物、构筑物等附着物处理</w:t>
      </w:r>
      <w:r>
        <w:rPr>
          <w:rFonts w:hint="eastAsia" w:ascii="仿宋_GB2312" w:hAnsi="仿宋_GB2312" w:eastAsia="仿宋_GB2312" w:cs="仿宋_GB2312"/>
          <w:color w:val="auto"/>
          <w:spacing w:val="4"/>
          <w:sz w:val="32"/>
          <w:szCs w:val="32"/>
        </w:rPr>
        <w:t>方式，以及违约责任和解决争议的方法等；</w:t>
      </w:r>
    </w:p>
    <w:p w14:paraId="4C87E18C">
      <w:pPr>
        <w:keepNext w:val="0"/>
        <w:keepLines w:val="0"/>
        <w:pageBreakBefore w:val="0"/>
        <w:kinsoku/>
        <w:wordWrap/>
        <w:overflowPunct/>
        <w:topLinePunct w:val="0"/>
        <w:autoSpaceDE/>
        <w:autoSpaceDN/>
        <w:bidi w:val="0"/>
        <w:adjustRightInd/>
        <w:snapToGrid/>
        <w:spacing w:line="560" w:lineRule="exact"/>
        <w:ind w:left="0" w:right="0" w:firstLine="684"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1"/>
          <w:sz w:val="32"/>
          <w:szCs w:val="32"/>
        </w:rPr>
        <w:t>6.委托第三方机构出具的《集体土地使用权作价出资评估报</w:t>
      </w:r>
      <w:r>
        <w:rPr>
          <w:rFonts w:hint="eastAsia" w:ascii="仿宋_GB2312" w:hAnsi="仿宋_GB2312" w:eastAsia="仿宋_GB2312" w:cs="仿宋_GB2312"/>
          <w:color w:val="auto"/>
          <w:spacing w:val="6"/>
          <w:sz w:val="32"/>
          <w:szCs w:val="32"/>
        </w:rPr>
        <w:t>告》,评估报告作为联营双方分红的参考依据，具体联营收</w:t>
      </w:r>
      <w:r>
        <w:rPr>
          <w:rFonts w:hint="eastAsia" w:ascii="仿宋_GB2312" w:hAnsi="仿宋_GB2312" w:eastAsia="仿宋_GB2312" w:cs="仿宋_GB2312"/>
          <w:color w:val="auto"/>
          <w:spacing w:val="5"/>
          <w:sz w:val="32"/>
          <w:szCs w:val="32"/>
        </w:rPr>
        <w:t>益及支</w:t>
      </w:r>
      <w:r>
        <w:rPr>
          <w:rFonts w:hint="eastAsia" w:ascii="仿宋_GB2312" w:hAnsi="仿宋_GB2312" w:eastAsia="仿宋_GB2312" w:cs="仿宋_GB2312"/>
          <w:color w:val="auto"/>
          <w:spacing w:val="2"/>
          <w:sz w:val="32"/>
          <w:szCs w:val="32"/>
        </w:rPr>
        <w:t>付方式以联营合同双方约定为准；</w:t>
      </w:r>
    </w:p>
    <w:p w14:paraId="2633E174">
      <w:pPr>
        <w:keepNext w:val="0"/>
        <w:keepLines w:val="0"/>
        <w:pageBreakBefore w:val="0"/>
        <w:kinsoku/>
        <w:wordWrap/>
        <w:overflowPunct/>
        <w:topLinePunct w:val="0"/>
        <w:autoSpaceDE/>
        <w:autoSpaceDN/>
        <w:bidi w:val="0"/>
        <w:adjustRightInd/>
        <w:snapToGrid/>
        <w:spacing w:line="560" w:lineRule="exact"/>
        <w:ind w:left="0" w:right="0" w:firstLine="648"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7.需要提供的其他材料。</w:t>
      </w:r>
    </w:p>
    <w:p w14:paraId="62024A53">
      <w:pPr>
        <w:keepNext w:val="0"/>
        <w:keepLines w:val="0"/>
        <w:pageBreakBefore w:val="0"/>
        <w:kinsoku/>
        <w:wordWrap/>
        <w:overflowPunct/>
        <w:topLinePunct w:val="0"/>
        <w:autoSpaceDE/>
        <w:autoSpaceDN/>
        <w:bidi w:val="0"/>
        <w:adjustRightInd/>
        <w:snapToGrid/>
        <w:spacing w:line="560" w:lineRule="exact"/>
        <w:ind w:right="0" w:firstLine="712" w:firstLineChars="200"/>
        <w:textAlignment w:val="auto"/>
        <w:outlineLvl w:val="2"/>
        <w:rPr>
          <w:rFonts w:hint="eastAsia" w:ascii="黑体" w:hAnsi="黑体" w:eastAsia="黑体" w:cs="黑体"/>
          <w:b w:val="0"/>
          <w:bCs w:val="0"/>
          <w:color w:val="auto"/>
          <w:sz w:val="32"/>
          <w:szCs w:val="32"/>
        </w:rPr>
      </w:pPr>
      <w:r>
        <w:rPr>
          <w:rFonts w:hint="eastAsia" w:ascii="黑体" w:hAnsi="黑体" w:eastAsia="黑体" w:cs="黑体"/>
          <w:b w:val="0"/>
          <w:bCs w:val="0"/>
          <w:color w:val="auto"/>
          <w:spacing w:val="18"/>
          <w:sz w:val="32"/>
          <w:szCs w:val="32"/>
        </w:rPr>
        <w:t>(二)审批程序：</w:t>
      </w:r>
    </w:p>
    <w:p w14:paraId="33552DF3">
      <w:pPr>
        <w:keepNext w:val="0"/>
        <w:keepLines w:val="0"/>
        <w:pageBreakBefore w:val="0"/>
        <w:kinsoku/>
        <w:wordWrap/>
        <w:overflowPunct/>
        <w:topLinePunct w:val="0"/>
        <w:autoSpaceDE/>
        <w:autoSpaceDN/>
        <w:bidi w:val="0"/>
        <w:adjustRightInd/>
        <w:snapToGrid/>
        <w:spacing w:line="560" w:lineRule="exact"/>
        <w:ind w:left="0" w:right="0" w:firstLine="684" w:firstLineChars="200"/>
        <w:textAlignment w:val="auto"/>
        <w:rPr>
          <w:rFonts w:hint="eastAsia" w:ascii="仿宋_GB2312" w:hAnsi="仿宋_GB2312" w:eastAsia="仿宋_GB2312" w:cs="仿宋_GB2312"/>
          <w:color w:val="auto"/>
          <w:spacing w:val="17"/>
          <w:sz w:val="32"/>
          <w:szCs w:val="32"/>
        </w:rPr>
      </w:pPr>
      <w:r>
        <w:rPr>
          <w:rFonts w:hint="eastAsia" w:ascii="仿宋_GB2312" w:hAnsi="仿宋_GB2312" w:eastAsia="仿宋_GB2312" w:cs="仿宋_GB2312"/>
          <w:color w:val="auto"/>
          <w:spacing w:val="11"/>
          <w:sz w:val="32"/>
          <w:szCs w:val="32"/>
        </w:rPr>
        <w:t>1.用地主体持上述有关资料或批准文件，向县</w:t>
      </w:r>
      <w:r>
        <w:rPr>
          <w:rFonts w:hint="eastAsia" w:ascii="仿宋_GB2312" w:hAnsi="仿宋_GB2312" w:eastAsia="仿宋_GB2312" w:cs="仿宋_GB2312"/>
          <w:color w:val="auto"/>
          <w:spacing w:val="10"/>
          <w:sz w:val="32"/>
          <w:szCs w:val="32"/>
        </w:rPr>
        <w:t>自然资源主管</w:t>
      </w:r>
      <w:r>
        <w:rPr>
          <w:rFonts w:hint="eastAsia" w:ascii="仿宋_GB2312" w:hAnsi="仿宋_GB2312" w:eastAsia="仿宋_GB2312" w:cs="仿宋_GB2312"/>
          <w:color w:val="auto"/>
          <w:spacing w:val="12"/>
          <w:sz w:val="32"/>
          <w:szCs w:val="32"/>
        </w:rPr>
        <w:t>部门提出用地申请，并结清</w:t>
      </w:r>
      <w:r>
        <w:rPr>
          <w:rFonts w:hint="eastAsia" w:ascii="仿宋_GB2312" w:hAnsi="仿宋_GB2312" w:eastAsia="仿宋_GB2312" w:cs="仿宋_GB2312"/>
          <w:color w:val="auto"/>
          <w:spacing w:val="22"/>
          <w:sz w:val="32"/>
          <w:szCs w:val="32"/>
        </w:rPr>
        <w:t>相关费用，未结清的缴纳至所在地乡(镇)政府监管帐户，与乡(镇)政府签订《集体建设用地使用权联营监管</w:t>
      </w:r>
      <w:r>
        <w:rPr>
          <w:rFonts w:hint="eastAsia" w:ascii="仿宋_GB2312" w:hAnsi="仿宋_GB2312" w:eastAsia="仿宋_GB2312" w:cs="仿宋_GB2312"/>
          <w:color w:val="auto"/>
          <w:spacing w:val="17"/>
          <w:sz w:val="32"/>
          <w:szCs w:val="32"/>
        </w:rPr>
        <w:t>协议》,乡(镇)政府按规定</w:t>
      </w:r>
      <w:r>
        <w:rPr>
          <w:rFonts w:hint="eastAsia" w:ascii="仿宋_GB2312" w:hAnsi="仿宋_GB2312" w:eastAsia="仿宋_GB2312" w:cs="仿宋_GB2312"/>
          <w:color w:val="auto"/>
          <w:spacing w:val="17"/>
          <w:sz w:val="32"/>
          <w:szCs w:val="32"/>
          <w:lang w:val="en-US" w:eastAsia="zh-CN"/>
        </w:rPr>
        <w:t>拨付</w:t>
      </w:r>
      <w:r>
        <w:rPr>
          <w:rFonts w:hint="eastAsia" w:ascii="仿宋_GB2312" w:hAnsi="仿宋_GB2312" w:eastAsia="仿宋_GB2312" w:cs="仿宋_GB2312"/>
          <w:color w:val="auto"/>
          <w:spacing w:val="17"/>
          <w:sz w:val="32"/>
          <w:szCs w:val="32"/>
        </w:rPr>
        <w:t>相关费用并实施监管。</w:t>
      </w:r>
    </w:p>
    <w:p w14:paraId="34237968">
      <w:pPr>
        <w:keepNext w:val="0"/>
        <w:keepLines w:val="0"/>
        <w:pageBreakBefore w:val="0"/>
        <w:kinsoku/>
        <w:wordWrap/>
        <w:overflowPunct/>
        <w:topLinePunct w:val="0"/>
        <w:autoSpaceDE/>
        <w:autoSpaceDN/>
        <w:bidi w:val="0"/>
        <w:adjustRightInd/>
        <w:snapToGrid/>
        <w:spacing w:line="560" w:lineRule="exact"/>
        <w:ind w:left="0" w:right="0" w:firstLine="684"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1"/>
          <w:sz w:val="32"/>
          <w:szCs w:val="32"/>
        </w:rPr>
        <w:t>2.县自然资源主管部门对用地主体提交的申请材料和费用缴纳凭证，进行审</w:t>
      </w:r>
      <w:r>
        <w:rPr>
          <w:rFonts w:hint="eastAsia" w:ascii="仿宋_GB2312" w:hAnsi="仿宋_GB2312" w:eastAsia="仿宋_GB2312" w:cs="仿宋_GB2312"/>
          <w:color w:val="auto"/>
          <w:spacing w:val="3"/>
          <w:sz w:val="32"/>
          <w:szCs w:val="32"/>
        </w:rPr>
        <w:t>查后，报本级政府批准；</w:t>
      </w:r>
    </w:p>
    <w:p w14:paraId="3382D0A3">
      <w:pPr>
        <w:keepNext w:val="0"/>
        <w:keepLines w:val="0"/>
        <w:pageBreakBefore w:val="0"/>
        <w:kinsoku/>
        <w:wordWrap/>
        <w:overflowPunct/>
        <w:topLinePunct w:val="0"/>
        <w:autoSpaceDE/>
        <w:autoSpaceDN/>
        <w:bidi w:val="0"/>
        <w:adjustRightInd/>
        <w:snapToGrid/>
        <w:spacing w:line="560" w:lineRule="exact"/>
        <w:ind w:left="0" w:right="0" w:firstLine="68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0"/>
          <w:sz w:val="32"/>
          <w:szCs w:val="32"/>
        </w:rPr>
        <w:t>3.用地主体持县政府用地批准文件及相关材料，提</w:t>
      </w:r>
      <w:r>
        <w:rPr>
          <w:rFonts w:hint="eastAsia" w:ascii="仿宋_GB2312" w:hAnsi="仿宋_GB2312" w:eastAsia="仿宋_GB2312" w:cs="仿宋_GB2312"/>
          <w:color w:val="auto"/>
          <w:spacing w:val="11"/>
          <w:sz w:val="32"/>
          <w:szCs w:val="32"/>
        </w:rPr>
        <w:t>交工程建设项目审批制度改革系统审核</w:t>
      </w:r>
      <w:r>
        <w:rPr>
          <w:rFonts w:hint="eastAsia" w:ascii="仿宋_GB2312" w:hAnsi="仿宋_GB2312" w:eastAsia="仿宋_GB2312" w:cs="仿宋_GB2312"/>
          <w:color w:val="auto"/>
          <w:spacing w:val="10"/>
          <w:sz w:val="32"/>
          <w:szCs w:val="32"/>
        </w:rPr>
        <w:t>备案后，到不动产登记</w:t>
      </w:r>
      <w:r>
        <w:rPr>
          <w:rFonts w:hint="eastAsia" w:ascii="仿宋_GB2312" w:hAnsi="仿宋_GB2312" w:eastAsia="仿宋_GB2312" w:cs="仿宋_GB2312"/>
          <w:color w:val="auto"/>
          <w:spacing w:val="6"/>
          <w:sz w:val="32"/>
          <w:szCs w:val="32"/>
        </w:rPr>
        <w:t>部门申请办理集体建设用地使用权登记，领取不动产权证书。(不</w:t>
      </w:r>
      <w:r>
        <w:rPr>
          <w:rFonts w:hint="eastAsia" w:ascii="仿宋_GB2312" w:hAnsi="仿宋_GB2312" w:eastAsia="仿宋_GB2312" w:cs="仿宋_GB2312"/>
          <w:color w:val="auto"/>
          <w:spacing w:val="3"/>
          <w:sz w:val="32"/>
          <w:szCs w:val="32"/>
        </w:rPr>
        <w:t>动产权证注明：联营集体建设用地使用权。)</w:t>
      </w:r>
    </w:p>
    <w:p w14:paraId="146266DA">
      <w:pPr>
        <w:keepNext w:val="0"/>
        <w:keepLines w:val="0"/>
        <w:pageBreakBefore w:val="0"/>
        <w:kinsoku/>
        <w:wordWrap/>
        <w:overflowPunct/>
        <w:topLinePunct w:val="0"/>
        <w:autoSpaceDE/>
        <w:autoSpaceDN/>
        <w:bidi w:val="0"/>
        <w:adjustRightInd/>
        <w:snapToGrid/>
        <w:spacing w:line="560" w:lineRule="exact"/>
        <w:ind w:left="0" w:right="0" w:firstLine="688"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pacing w:val="12"/>
          <w:sz w:val="32"/>
          <w:szCs w:val="32"/>
        </w:rPr>
        <w:t>第八条</w:t>
      </w:r>
      <w:r>
        <w:rPr>
          <w:rFonts w:hint="eastAsia" w:ascii="仿宋_GB2312" w:hAnsi="仿宋_GB2312" w:eastAsia="仿宋_GB2312" w:cs="仿宋_GB2312"/>
          <w:b/>
          <w:bCs/>
          <w:color w:val="auto"/>
          <w:spacing w:val="12"/>
          <w:sz w:val="32"/>
          <w:szCs w:val="32"/>
          <w:lang w:val="en-US" w:eastAsia="zh-CN"/>
        </w:rPr>
        <w:t xml:space="preserve"> </w:t>
      </w:r>
      <w:r>
        <w:rPr>
          <w:rFonts w:hint="eastAsia" w:ascii="仿宋_GB2312" w:hAnsi="仿宋_GB2312" w:eastAsia="仿宋_GB2312" w:cs="仿宋_GB2312"/>
          <w:color w:val="auto"/>
          <w:spacing w:val="12"/>
          <w:sz w:val="32"/>
          <w:szCs w:val="32"/>
        </w:rPr>
        <w:t>按照联营合同约定，根据建设项目施工管</w:t>
      </w:r>
      <w:r>
        <w:rPr>
          <w:rFonts w:hint="eastAsia" w:ascii="仿宋_GB2312" w:hAnsi="仿宋_GB2312" w:eastAsia="仿宋_GB2312" w:cs="仿宋_GB2312"/>
          <w:color w:val="auto"/>
          <w:spacing w:val="11"/>
          <w:sz w:val="32"/>
          <w:szCs w:val="32"/>
        </w:rPr>
        <w:t>理有关要</w:t>
      </w:r>
      <w:r>
        <w:rPr>
          <w:rFonts w:hint="eastAsia" w:ascii="仿宋_GB2312" w:hAnsi="仿宋_GB2312" w:eastAsia="仿宋_GB2312" w:cs="仿宋_GB2312"/>
          <w:color w:val="auto"/>
          <w:spacing w:val="4"/>
          <w:sz w:val="32"/>
          <w:szCs w:val="32"/>
        </w:rPr>
        <w:t>求办理规划、开工、监理等有关施工手续，完工后进行工程验收。</w:t>
      </w:r>
    </w:p>
    <w:p w14:paraId="172D3C8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
          <w:color w:val="auto"/>
          <w:sz w:val="32"/>
          <w:szCs w:val="32"/>
        </w:rPr>
      </w:pPr>
      <w:r>
        <w:rPr>
          <w:rFonts w:hint="eastAsia" w:ascii="黑体" w:hAnsi="黑体" w:eastAsia="黑体" w:cs="黑体"/>
          <w:b w:val="0"/>
          <w:bCs/>
          <w:color w:val="auto"/>
          <w:sz w:val="32"/>
          <w:szCs w:val="32"/>
        </w:rPr>
        <w:t>第四章</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rPr>
        <w:t>开发建设管理</w:t>
      </w:r>
    </w:p>
    <w:p w14:paraId="4C349DA9">
      <w:pPr>
        <w:keepNext w:val="0"/>
        <w:keepLines w:val="0"/>
        <w:pageBreakBefore w:val="0"/>
        <w:kinsoku/>
        <w:wordWrap/>
        <w:overflowPunct/>
        <w:topLinePunct w:val="0"/>
        <w:autoSpaceDE/>
        <w:autoSpaceDN/>
        <w:bidi w:val="0"/>
        <w:adjustRightInd/>
        <w:snapToGrid/>
        <w:spacing w:line="560" w:lineRule="exact"/>
        <w:ind w:left="0" w:right="0" w:firstLine="66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pacing w:val="5"/>
          <w:sz w:val="32"/>
          <w:szCs w:val="32"/>
        </w:rPr>
        <w:t>第九条</w:t>
      </w:r>
      <w:r>
        <w:rPr>
          <w:rFonts w:hint="eastAsia" w:ascii="仿宋_GB2312" w:hAnsi="仿宋_GB2312" w:eastAsia="仿宋_GB2312" w:cs="仿宋_GB2312"/>
          <w:b/>
          <w:bCs/>
          <w:color w:val="auto"/>
          <w:spacing w:val="5"/>
          <w:sz w:val="32"/>
          <w:szCs w:val="32"/>
          <w:lang w:val="en-US" w:eastAsia="zh-CN"/>
        </w:rPr>
        <w:t xml:space="preserve"> </w:t>
      </w:r>
      <w:r>
        <w:rPr>
          <w:rFonts w:hint="eastAsia" w:ascii="仿宋_GB2312" w:hAnsi="仿宋_GB2312" w:eastAsia="仿宋_GB2312" w:cs="仿宋_GB2312"/>
          <w:color w:val="auto"/>
          <w:spacing w:val="5"/>
          <w:sz w:val="32"/>
          <w:szCs w:val="32"/>
        </w:rPr>
        <w:t>按照法律、法规有关规定和《</w:t>
      </w:r>
      <w:bookmarkStart w:id="6" w:name="OLE_LINK22"/>
      <w:bookmarkStart w:id="7" w:name="OLE_LINK21"/>
      <w:r>
        <w:rPr>
          <w:rFonts w:hint="eastAsia" w:ascii="仿宋_GB2312" w:hAnsi="仿宋_GB2312" w:eastAsia="仿宋_GB2312" w:cs="仿宋_GB2312"/>
          <w:color w:val="auto"/>
          <w:spacing w:val="5"/>
          <w:sz w:val="32"/>
          <w:szCs w:val="32"/>
        </w:rPr>
        <w:t>集体建设用地使用</w:t>
      </w:r>
      <w:r>
        <w:rPr>
          <w:rFonts w:hint="eastAsia" w:ascii="仿宋_GB2312" w:hAnsi="仿宋_GB2312" w:eastAsia="仿宋_GB2312" w:cs="仿宋_GB2312"/>
          <w:color w:val="auto"/>
          <w:spacing w:val="-6"/>
          <w:sz w:val="32"/>
          <w:szCs w:val="32"/>
        </w:rPr>
        <w:t>权联营合同</w:t>
      </w:r>
      <w:bookmarkEnd w:id="6"/>
      <w:bookmarkEnd w:id="7"/>
      <w:r>
        <w:rPr>
          <w:rFonts w:hint="eastAsia" w:ascii="仿宋_GB2312" w:hAnsi="仿宋_GB2312" w:eastAsia="仿宋_GB2312" w:cs="仿宋_GB2312"/>
          <w:color w:val="auto"/>
          <w:spacing w:val="-6"/>
          <w:sz w:val="32"/>
          <w:szCs w:val="32"/>
        </w:rPr>
        <w:t>》有关条款约定的相关要求及规划条件进行开发利用。</w:t>
      </w:r>
    </w:p>
    <w:p w14:paraId="195A48BA">
      <w:pPr>
        <w:keepNext w:val="0"/>
        <w:keepLines w:val="0"/>
        <w:pageBreakBefore w:val="0"/>
        <w:kinsoku/>
        <w:wordWrap/>
        <w:overflowPunct/>
        <w:topLinePunct w:val="0"/>
        <w:autoSpaceDE/>
        <w:autoSpaceDN/>
        <w:bidi w:val="0"/>
        <w:adjustRightInd/>
        <w:snapToGrid/>
        <w:spacing w:line="560" w:lineRule="exact"/>
        <w:ind w:left="0" w:right="0" w:firstLine="664"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pacing w:val="6"/>
          <w:sz w:val="32"/>
          <w:szCs w:val="32"/>
        </w:rPr>
        <w:t>第十条</w:t>
      </w:r>
      <w:r>
        <w:rPr>
          <w:rFonts w:hint="eastAsia" w:ascii="黑体" w:hAnsi="黑体" w:eastAsia="黑体" w:cs="黑体"/>
          <w:b w:val="0"/>
          <w:bCs w:val="0"/>
          <w:color w:val="auto"/>
          <w:spacing w:val="6"/>
          <w:sz w:val="32"/>
          <w:szCs w:val="32"/>
          <w:lang w:val="en-US" w:eastAsia="zh-CN"/>
        </w:rPr>
        <w:t xml:space="preserve"> </w:t>
      </w:r>
      <w:r>
        <w:rPr>
          <w:rFonts w:hint="eastAsia" w:ascii="仿宋_GB2312" w:hAnsi="仿宋_GB2312" w:eastAsia="仿宋_GB2312" w:cs="仿宋_GB2312"/>
          <w:color w:val="auto"/>
          <w:spacing w:val="6"/>
          <w:sz w:val="32"/>
          <w:szCs w:val="32"/>
        </w:rPr>
        <w:t>因国土空间规划调整等原因确需</w:t>
      </w:r>
      <w:r>
        <w:rPr>
          <w:rFonts w:hint="eastAsia" w:ascii="仿宋_GB2312" w:hAnsi="仿宋_GB2312" w:eastAsia="仿宋_GB2312" w:cs="仿宋_GB2312"/>
          <w:color w:val="auto"/>
          <w:spacing w:val="5"/>
          <w:sz w:val="32"/>
          <w:szCs w:val="32"/>
        </w:rPr>
        <w:t>改变土地用途、变</w:t>
      </w:r>
      <w:r>
        <w:rPr>
          <w:rFonts w:hint="eastAsia" w:ascii="仿宋_GB2312" w:hAnsi="仿宋_GB2312" w:eastAsia="仿宋_GB2312" w:cs="仿宋_GB2312"/>
          <w:color w:val="auto"/>
          <w:spacing w:val="10"/>
          <w:sz w:val="32"/>
          <w:szCs w:val="32"/>
        </w:rPr>
        <w:t>更容积率等规划条件的，联营使用土地的单位应向县</w:t>
      </w:r>
      <w:r>
        <w:rPr>
          <w:rFonts w:hint="eastAsia" w:ascii="仿宋_GB2312" w:hAnsi="仿宋_GB2312" w:eastAsia="仿宋_GB2312" w:cs="仿宋_GB2312"/>
          <w:color w:val="auto"/>
          <w:spacing w:val="9"/>
          <w:sz w:val="32"/>
          <w:szCs w:val="32"/>
        </w:rPr>
        <w:t>自然资源部</w:t>
      </w:r>
      <w:r>
        <w:rPr>
          <w:rFonts w:hint="eastAsia" w:ascii="仿宋_GB2312" w:hAnsi="仿宋_GB2312" w:eastAsia="仿宋_GB2312" w:cs="仿宋_GB2312"/>
          <w:color w:val="auto"/>
          <w:spacing w:val="5"/>
          <w:sz w:val="32"/>
          <w:szCs w:val="32"/>
        </w:rPr>
        <w:t>门申请，经县自然资源部门初核同意后，报</w:t>
      </w:r>
      <w:r>
        <w:rPr>
          <w:rFonts w:hint="eastAsia" w:ascii="仿宋_GB2312" w:hAnsi="仿宋_GB2312" w:eastAsia="仿宋_GB2312" w:cs="仿宋_GB2312"/>
          <w:color w:val="auto"/>
          <w:spacing w:val="4"/>
          <w:sz w:val="32"/>
          <w:szCs w:val="32"/>
        </w:rPr>
        <w:t>县政府批准。</w:t>
      </w:r>
    </w:p>
    <w:p w14:paraId="1D8FC36C">
      <w:pPr>
        <w:keepNext w:val="0"/>
        <w:keepLines w:val="0"/>
        <w:pageBreakBefore w:val="0"/>
        <w:kinsoku/>
        <w:wordWrap/>
        <w:overflowPunct/>
        <w:topLinePunct w:val="0"/>
        <w:autoSpaceDE/>
        <w:autoSpaceDN/>
        <w:bidi w:val="0"/>
        <w:adjustRightInd/>
        <w:snapToGrid/>
        <w:spacing w:line="560" w:lineRule="exact"/>
        <w:ind w:left="0" w:right="0" w:firstLine="684" w:firstLineChars="200"/>
        <w:textAlignment w:val="auto"/>
        <w:rPr>
          <w:rFonts w:hint="eastAsia" w:ascii="仿宋_GB2312" w:hAnsi="仿宋_GB2312" w:eastAsia="仿宋_GB2312" w:cs="仿宋_GB2312"/>
          <w:color w:val="auto"/>
          <w:spacing w:val="12"/>
          <w:sz w:val="32"/>
          <w:szCs w:val="32"/>
          <w:highlight w:val="yellow"/>
          <w:lang w:eastAsia="zh-CN"/>
        </w:rPr>
      </w:pPr>
      <w:r>
        <w:rPr>
          <w:rFonts w:hint="eastAsia" w:ascii="黑体" w:hAnsi="黑体" w:eastAsia="黑体" w:cs="黑体"/>
          <w:b w:val="0"/>
          <w:bCs w:val="0"/>
          <w:color w:val="auto"/>
          <w:spacing w:val="11"/>
          <w:sz w:val="32"/>
          <w:szCs w:val="32"/>
        </w:rPr>
        <w:t>第十一条</w:t>
      </w:r>
      <w:r>
        <w:rPr>
          <w:rFonts w:hint="eastAsia" w:ascii="仿宋_GB2312" w:hAnsi="仿宋_GB2312" w:eastAsia="仿宋_GB2312" w:cs="仿宋_GB2312"/>
          <w:b/>
          <w:bCs/>
          <w:color w:val="auto"/>
          <w:spacing w:val="11"/>
          <w:sz w:val="32"/>
          <w:szCs w:val="32"/>
          <w:lang w:val="en-US" w:eastAsia="zh-CN"/>
        </w:rPr>
        <w:t xml:space="preserve"> </w:t>
      </w:r>
      <w:r>
        <w:rPr>
          <w:rFonts w:hint="eastAsia" w:ascii="仿宋_GB2312" w:hAnsi="仿宋_GB2312" w:eastAsia="仿宋_GB2312" w:cs="仿宋_GB2312"/>
          <w:color w:val="auto"/>
          <w:spacing w:val="11"/>
          <w:sz w:val="32"/>
          <w:szCs w:val="32"/>
        </w:rPr>
        <w:t>依法批准的联营农村集体建设用地，在使用土地</w:t>
      </w:r>
      <w:r>
        <w:rPr>
          <w:rFonts w:hint="eastAsia" w:ascii="仿宋_GB2312" w:hAnsi="仿宋_GB2312" w:eastAsia="仿宋_GB2312" w:cs="仿宋_GB2312"/>
          <w:color w:val="auto"/>
          <w:spacing w:val="17"/>
          <w:sz w:val="32"/>
          <w:szCs w:val="32"/>
        </w:rPr>
        <w:t>合同期满前，原则上不得收回。因社会公共利益(</w:t>
      </w:r>
      <w:r>
        <w:rPr>
          <w:rFonts w:hint="eastAsia" w:ascii="仿宋_GB2312" w:hAnsi="仿宋_GB2312" w:eastAsia="仿宋_GB2312" w:cs="仿宋_GB2312"/>
          <w:color w:val="auto"/>
          <w:spacing w:val="16"/>
          <w:sz w:val="32"/>
          <w:szCs w:val="32"/>
        </w:rPr>
        <w:t>土地管理法第四十五条规定情形)等原因确需收回的，经村民代表大会三分之</w:t>
      </w:r>
      <w:r>
        <w:rPr>
          <w:rFonts w:hint="eastAsia" w:ascii="仿宋_GB2312" w:hAnsi="仿宋_GB2312" w:eastAsia="仿宋_GB2312" w:cs="仿宋_GB2312"/>
          <w:color w:val="auto"/>
          <w:spacing w:val="12"/>
          <w:sz w:val="32"/>
          <w:szCs w:val="32"/>
        </w:rPr>
        <w:t>二以上村民代表同意，由村集体经济组织与</w:t>
      </w:r>
      <w:r>
        <w:rPr>
          <w:rFonts w:hint="eastAsia" w:ascii="仿宋_GB2312" w:hAnsi="仿宋_GB2312" w:eastAsia="仿宋_GB2312" w:cs="仿宋_GB2312"/>
          <w:color w:val="auto"/>
          <w:spacing w:val="11"/>
          <w:sz w:val="32"/>
          <w:szCs w:val="32"/>
        </w:rPr>
        <w:t>土地使用单位签订收</w:t>
      </w:r>
      <w:r>
        <w:rPr>
          <w:rFonts w:hint="eastAsia" w:ascii="仿宋_GB2312" w:hAnsi="仿宋_GB2312" w:eastAsia="仿宋_GB2312" w:cs="仿宋_GB2312"/>
          <w:color w:val="auto"/>
          <w:spacing w:val="22"/>
          <w:sz w:val="32"/>
          <w:szCs w:val="32"/>
        </w:rPr>
        <w:t>回协议后，报乡(镇)政府、县自然资源部门审查，报县政府批</w:t>
      </w:r>
      <w:r>
        <w:rPr>
          <w:rFonts w:hint="eastAsia" w:ascii="仿宋_GB2312" w:hAnsi="仿宋_GB2312" w:eastAsia="仿宋_GB2312" w:cs="仿宋_GB2312"/>
          <w:color w:val="auto"/>
          <w:spacing w:val="12"/>
          <w:sz w:val="32"/>
          <w:szCs w:val="32"/>
        </w:rPr>
        <w:t>准后进行</w:t>
      </w:r>
      <w:r>
        <w:rPr>
          <w:rFonts w:hint="eastAsia" w:ascii="仿宋_GB2312" w:hAnsi="仿宋_GB2312" w:eastAsia="仿宋_GB2312" w:cs="仿宋_GB2312"/>
          <w:color w:val="auto"/>
          <w:spacing w:val="12"/>
          <w:sz w:val="32"/>
          <w:szCs w:val="32"/>
          <w:highlight w:val="none"/>
        </w:rPr>
        <w:t>收回。</w:t>
      </w:r>
      <w:r>
        <w:rPr>
          <w:rFonts w:hint="eastAsia" w:ascii="仿宋_GB2312" w:hAnsi="仿宋_GB2312" w:eastAsia="仿宋_GB2312" w:cs="仿宋_GB2312"/>
          <w:color w:val="auto"/>
          <w:spacing w:val="12"/>
          <w:sz w:val="32"/>
          <w:szCs w:val="32"/>
          <w:highlight w:val="none"/>
          <w:lang w:eastAsia="zh-CN"/>
        </w:rPr>
        <w:t>根据《土地管理法》第六十六条，若为乡（镇）村公共设施和公益事业建设，需要使用土地的，经批准收回土地的，农村集体经济组织要根据土地使用权人实际使用土地年限及开发土地的实际情况给予相应补偿。</w:t>
      </w:r>
    </w:p>
    <w:p w14:paraId="2D43E99E">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第五章</w:t>
      </w:r>
      <w:r>
        <w:rPr>
          <w:rFonts w:hint="eastAsia" w:ascii="黑体" w:hAnsi="黑体" w:eastAsia="黑体" w:cs="黑体"/>
          <w:b w:val="0"/>
          <w:bCs/>
          <w:color w:val="auto"/>
          <w:sz w:val="32"/>
          <w:szCs w:val="32"/>
          <w:lang w:val="en-US" w:eastAsia="zh-CN"/>
        </w:rPr>
        <w:t xml:space="preserve"> 法律</w:t>
      </w:r>
      <w:r>
        <w:rPr>
          <w:rFonts w:hint="eastAsia" w:ascii="黑体" w:hAnsi="黑体" w:eastAsia="黑体" w:cs="黑体"/>
          <w:b w:val="0"/>
          <w:bCs/>
          <w:color w:val="auto"/>
          <w:sz w:val="32"/>
          <w:szCs w:val="32"/>
        </w:rPr>
        <w:t>责任</w:t>
      </w:r>
    </w:p>
    <w:p w14:paraId="1A6F2291">
      <w:pPr>
        <w:keepNext w:val="0"/>
        <w:keepLines w:val="0"/>
        <w:pageBreakBefore w:val="0"/>
        <w:kinsoku/>
        <w:wordWrap/>
        <w:overflowPunct/>
        <w:topLinePunct w:val="0"/>
        <w:autoSpaceDE/>
        <w:autoSpaceDN/>
        <w:bidi w:val="0"/>
        <w:adjustRightInd/>
        <w:snapToGrid/>
        <w:spacing w:line="560" w:lineRule="exact"/>
        <w:ind w:left="0" w:right="0" w:firstLine="70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pacing w:val="15"/>
          <w:sz w:val="32"/>
          <w:szCs w:val="32"/>
        </w:rPr>
        <w:t>第十二条</w:t>
      </w:r>
      <w:r>
        <w:rPr>
          <w:rFonts w:hint="eastAsia" w:ascii="仿宋_GB2312" w:hAnsi="仿宋_GB2312" w:eastAsia="仿宋_GB2312" w:cs="仿宋_GB2312"/>
          <w:b/>
          <w:bCs/>
          <w:color w:val="auto"/>
          <w:spacing w:val="15"/>
          <w:sz w:val="32"/>
          <w:szCs w:val="32"/>
          <w:lang w:val="en-US" w:eastAsia="zh-CN"/>
        </w:rPr>
        <w:t xml:space="preserve"> </w:t>
      </w:r>
      <w:r>
        <w:rPr>
          <w:rFonts w:hint="eastAsia" w:ascii="仿宋_GB2312" w:hAnsi="仿宋_GB2312" w:eastAsia="仿宋_GB2312" w:cs="仿宋_GB2312"/>
          <w:color w:val="auto"/>
          <w:spacing w:val="15"/>
          <w:sz w:val="32"/>
          <w:szCs w:val="32"/>
        </w:rPr>
        <w:t>联营使用土地的单位或个人擅自改变合同约定</w:t>
      </w:r>
      <w:r>
        <w:rPr>
          <w:rFonts w:hint="eastAsia" w:ascii="仿宋_GB2312" w:hAnsi="仿宋_GB2312" w:eastAsia="仿宋_GB2312" w:cs="仿宋_GB2312"/>
          <w:color w:val="auto"/>
          <w:spacing w:val="12"/>
          <w:sz w:val="32"/>
          <w:szCs w:val="32"/>
        </w:rPr>
        <w:t>用途及容积率等规划条件，违法使用土地的，应按照合同约定违</w:t>
      </w:r>
      <w:r>
        <w:rPr>
          <w:rFonts w:hint="eastAsia" w:ascii="仿宋_GB2312" w:hAnsi="仿宋_GB2312" w:eastAsia="仿宋_GB2312" w:cs="仿宋_GB2312"/>
          <w:color w:val="auto"/>
          <w:spacing w:val="11"/>
          <w:sz w:val="32"/>
          <w:szCs w:val="32"/>
        </w:rPr>
        <w:t>约责任，由县自然资源部门按照相关法律和</w:t>
      </w:r>
      <w:bookmarkStart w:id="8" w:name="OLE_LINK26"/>
      <w:bookmarkStart w:id="9" w:name="OLE_LINK25"/>
      <w:r>
        <w:rPr>
          <w:rFonts w:hint="eastAsia" w:ascii="仿宋_GB2312" w:hAnsi="仿宋_GB2312" w:eastAsia="仿宋_GB2312" w:cs="仿宋_GB2312"/>
          <w:color w:val="auto"/>
          <w:spacing w:val="11"/>
          <w:sz w:val="32"/>
          <w:szCs w:val="32"/>
        </w:rPr>
        <w:t>《集体建设用地使用权联营监管协议》</w:t>
      </w:r>
      <w:bookmarkEnd w:id="8"/>
      <w:bookmarkEnd w:id="9"/>
      <w:r>
        <w:rPr>
          <w:rFonts w:hint="eastAsia" w:ascii="仿宋_GB2312" w:hAnsi="仿宋_GB2312" w:eastAsia="仿宋_GB2312" w:cs="仿宋_GB2312"/>
          <w:color w:val="auto"/>
          <w:spacing w:val="11"/>
          <w:sz w:val="32"/>
          <w:szCs w:val="32"/>
        </w:rPr>
        <w:t>有关规定</w:t>
      </w:r>
      <w:r>
        <w:rPr>
          <w:rFonts w:hint="eastAsia" w:ascii="仿宋_GB2312" w:hAnsi="仿宋_GB2312" w:eastAsia="仿宋_GB2312" w:cs="仿宋_GB2312"/>
          <w:color w:val="auto"/>
          <w:spacing w:val="4"/>
          <w:sz w:val="32"/>
          <w:szCs w:val="32"/>
        </w:rPr>
        <w:t>依法进行查处。</w:t>
      </w:r>
    </w:p>
    <w:p w14:paraId="151F6473">
      <w:pPr>
        <w:keepNext w:val="0"/>
        <w:keepLines w:val="0"/>
        <w:pageBreakBefore w:val="0"/>
        <w:kinsoku/>
        <w:wordWrap/>
        <w:overflowPunct/>
        <w:topLinePunct w:val="0"/>
        <w:autoSpaceDE/>
        <w:autoSpaceDN/>
        <w:bidi w:val="0"/>
        <w:adjustRightInd/>
        <w:snapToGrid/>
        <w:spacing w:line="560" w:lineRule="exact"/>
        <w:ind w:left="0" w:right="0" w:firstLine="656"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pacing w:val="4"/>
          <w:sz w:val="32"/>
          <w:szCs w:val="32"/>
        </w:rPr>
        <w:t>第十三条</w:t>
      </w:r>
      <w:r>
        <w:rPr>
          <w:rFonts w:hint="eastAsia" w:ascii="仿宋_GB2312" w:hAnsi="仿宋_GB2312" w:eastAsia="仿宋_GB2312" w:cs="仿宋_GB2312"/>
          <w:b/>
          <w:bCs/>
          <w:color w:val="auto"/>
          <w:spacing w:val="4"/>
          <w:sz w:val="32"/>
          <w:szCs w:val="32"/>
          <w:lang w:val="en-US" w:eastAsia="zh-CN"/>
        </w:rPr>
        <w:t xml:space="preserve"> </w:t>
      </w:r>
      <w:bookmarkStart w:id="10" w:name="OLE_LINK1"/>
      <w:r>
        <w:rPr>
          <w:rFonts w:hint="eastAsia" w:ascii="仿宋_GB2312" w:hAnsi="仿宋_GB2312" w:eastAsia="仿宋_GB2312" w:cs="仿宋_GB2312"/>
          <w:color w:val="auto"/>
          <w:spacing w:val="4"/>
          <w:sz w:val="32"/>
          <w:szCs w:val="32"/>
        </w:rPr>
        <w:t>联营使用土地的单位严格按照产业准入要求、生</w:t>
      </w:r>
      <w:r>
        <w:rPr>
          <w:rFonts w:hint="eastAsia" w:ascii="仿宋_GB2312" w:hAnsi="仿宋_GB2312" w:eastAsia="仿宋_GB2312" w:cs="仿宋_GB2312"/>
          <w:color w:val="auto"/>
          <w:spacing w:val="11"/>
          <w:sz w:val="32"/>
          <w:szCs w:val="32"/>
        </w:rPr>
        <w:t>态环境保护要求、安全生产规定建设生产，否则追究相关法律责</w:t>
      </w:r>
      <w:r>
        <w:rPr>
          <w:rFonts w:hint="eastAsia" w:ascii="仿宋_GB2312" w:hAnsi="仿宋_GB2312" w:eastAsia="仿宋_GB2312" w:cs="仿宋_GB2312"/>
          <w:color w:val="auto"/>
          <w:spacing w:val="-8"/>
          <w:sz w:val="32"/>
          <w:szCs w:val="32"/>
        </w:rPr>
        <w:t>任。</w:t>
      </w:r>
    </w:p>
    <w:bookmarkEnd w:id="10"/>
    <w:p w14:paraId="5DA467B4">
      <w:pPr>
        <w:keepNext w:val="0"/>
        <w:keepLines w:val="0"/>
        <w:pageBreakBefore w:val="0"/>
        <w:kinsoku/>
        <w:wordWrap/>
        <w:overflowPunct/>
        <w:topLinePunct w:val="0"/>
        <w:autoSpaceDE/>
        <w:autoSpaceDN/>
        <w:bidi w:val="0"/>
        <w:adjustRightInd/>
        <w:snapToGrid/>
        <w:spacing w:line="560" w:lineRule="exact"/>
        <w:ind w:right="0"/>
        <w:jc w:val="center"/>
        <w:textAlignment w:val="auto"/>
        <w:outlineLvl w:val="2"/>
        <w:rPr>
          <w:rFonts w:hint="eastAsia" w:ascii="黑体" w:hAnsi="黑体" w:eastAsia="黑体" w:cs="黑体"/>
          <w:b w:val="0"/>
          <w:bCs w:val="0"/>
          <w:color w:val="auto"/>
          <w:sz w:val="32"/>
          <w:szCs w:val="32"/>
        </w:rPr>
      </w:pPr>
      <w:r>
        <w:rPr>
          <w:rFonts w:hint="eastAsia" w:ascii="黑体" w:hAnsi="黑体" w:eastAsia="黑体" w:cs="黑体"/>
          <w:b w:val="0"/>
          <w:bCs w:val="0"/>
          <w:color w:val="auto"/>
          <w:spacing w:val="-5"/>
          <w:sz w:val="32"/>
          <w:szCs w:val="32"/>
        </w:rPr>
        <w:t>第六章</w:t>
      </w:r>
      <w:r>
        <w:rPr>
          <w:rFonts w:hint="eastAsia" w:ascii="黑体" w:hAnsi="黑体" w:eastAsia="黑体" w:cs="黑体"/>
          <w:b w:val="0"/>
          <w:bCs w:val="0"/>
          <w:color w:val="auto"/>
          <w:spacing w:val="-5"/>
          <w:sz w:val="32"/>
          <w:szCs w:val="32"/>
          <w:lang w:val="en-US" w:eastAsia="zh-CN"/>
        </w:rPr>
        <w:t xml:space="preserve"> </w:t>
      </w:r>
      <w:r>
        <w:rPr>
          <w:rFonts w:hint="eastAsia" w:ascii="黑体" w:hAnsi="黑体" w:eastAsia="黑体" w:cs="黑体"/>
          <w:b w:val="0"/>
          <w:bCs w:val="0"/>
          <w:color w:val="auto"/>
          <w:spacing w:val="-5"/>
          <w:sz w:val="32"/>
          <w:szCs w:val="32"/>
        </w:rPr>
        <w:t>附则</w:t>
      </w:r>
    </w:p>
    <w:p w14:paraId="283452FA">
      <w:pPr>
        <w:keepNext w:val="0"/>
        <w:keepLines w:val="0"/>
        <w:pageBreakBefore w:val="0"/>
        <w:kinsoku/>
        <w:wordWrap/>
        <w:overflowPunct/>
        <w:topLinePunct w:val="0"/>
        <w:autoSpaceDE/>
        <w:autoSpaceDN/>
        <w:bidi w:val="0"/>
        <w:adjustRightInd/>
        <w:snapToGrid/>
        <w:spacing w:line="560" w:lineRule="exact"/>
        <w:ind w:left="0" w:right="0" w:firstLine="70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pacing w:val="15"/>
          <w:sz w:val="32"/>
          <w:szCs w:val="32"/>
        </w:rPr>
        <w:t>第十四条</w:t>
      </w:r>
      <w:r>
        <w:rPr>
          <w:rFonts w:hint="eastAsia" w:ascii="仿宋_GB2312" w:hAnsi="仿宋_GB2312" w:eastAsia="仿宋_GB2312" w:cs="仿宋_GB2312"/>
          <w:b/>
          <w:bCs/>
          <w:color w:val="auto"/>
          <w:spacing w:val="15"/>
          <w:sz w:val="32"/>
          <w:szCs w:val="32"/>
          <w:lang w:val="en-US" w:eastAsia="zh-CN"/>
        </w:rPr>
        <w:t xml:space="preserve"> </w:t>
      </w:r>
      <w:r>
        <w:rPr>
          <w:rFonts w:hint="eastAsia" w:ascii="仿宋_GB2312" w:hAnsi="仿宋_GB2312" w:eastAsia="仿宋_GB2312" w:cs="仿宋_GB2312"/>
          <w:color w:val="auto"/>
          <w:spacing w:val="15"/>
          <w:sz w:val="32"/>
          <w:szCs w:val="32"/>
        </w:rPr>
        <w:t>农村集体建设用地联营用地在使用年期内不得</w:t>
      </w:r>
      <w:r>
        <w:rPr>
          <w:rFonts w:hint="eastAsia" w:ascii="仿宋_GB2312" w:hAnsi="仿宋_GB2312" w:eastAsia="仿宋_GB2312" w:cs="仿宋_GB2312"/>
          <w:color w:val="auto"/>
          <w:spacing w:val="11"/>
          <w:sz w:val="32"/>
          <w:szCs w:val="32"/>
        </w:rPr>
        <w:t>转让、出租。集体经营性建设用地入市政策允许后，以协议出让方式办理集体经营性建设用地，用地主体根据入市时地价评估结</w:t>
      </w:r>
      <w:r>
        <w:rPr>
          <w:rFonts w:hint="eastAsia" w:ascii="仿宋_GB2312" w:hAnsi="仿宋_GB2312" w:eastAsia="仿宋_GB2312" w:cs="仿宋_GB2312"/>
          <w:color w:val="auto"/>
          <w:spacing w:val="4"/>
          <w:sz w:val="32"/>
          <w:szCs w:val="32"/>
        </w:rPr>
        <w:t>果及联营协议约定缴存土地出让价款。</w:t>
      </w:r>
    </w:p>
    <w:p w14:paraId="5107BC23">
      <w:pPr>
        <w:keepNext w:val="0"/>
        <w:keepLines w:val="0"/>
        <w:pageBreakBefore w:val="0"/>
        <w:kinsoku/>
        <w:wordWrap/>
        <w:overflowPunct/>
        <w:topLinePunct w:val="0"/>
        <w:autoSpaceDE/>
        <w:autoSpaceDN/>
        <w:bidi w:val="0"/>
        <w:adjustRightInd/>
        <w:snapToGrid/>
        <w:spacing w:line="560" w:lineRule="exact"/>
        <w:ind w:left="0" w:right="0" w:firstLine="696"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pacing w:val="14"/>
          <w:sz w:val="32"/>
          <w:szCs w:val="32"/>
        </w:rPr>
        <w:t>第十五条</w:t>
      </w:r>
      <w:r>
        <w:rPr>
          <w:rFonts w:hint="eastAsia" w:ascii="仿宋_GB2312" w:hAnsi="仿宋_GB2312" w:eastAsia="仿宋_GB2312" w:cs="仿宋_GB2312"/>
          <w:b/>
          <w:bCs/>
          <w:color w:val="auto"/>
          <w:spacing w:val="14"/>
          <w:sz w:val="32"/>
          <w:szCs w:val="32"/>
          <w:lang w:val="en-US" w:eastAsia="zh-CN"/>
        </w:rPr>
        <w:t xml:space="preserve"> </w:t>
      </w:r>
      <w:r>
        <w:rPr>
          <w:rFonts w:hint="eastAsia" w:ascii="仿宋_GB2312" w:hAnsi="仿宋_GB2312" w:eastAsia="仿宋_GB2312" w:cs="仿宋_GB2312"/>
          <w:color w:val="auto"/>
          <w:spacing w:val="14"/>
          <w:sz w:val="32"/>
          <w:szCs w:val="32"/>
        </w:rPr>
        <w:t>国家或上级有关部门关于集体建设用地联营具</w:t>
      </w:r>
      <w:r>
        <w:rPr>
          <w:rFonts w:hint="eastAsia" w:ascii="仿宋_GB2312" w:hAnsi="仿宋_GB2312" w:eastAsia="仿宋_GB2312" w:cs="仿宋_GB2312"/>
          <w:color w:val="auto"/>
          <w:spacing w:val="4"/>
          <w:sz w:val="32"/>
          <w:szCs w:val="32"/>
        </w:rPr>
        <w:t>体实施政策出台后，以国家或上级部门法律法规及政策文件为准，</w:t>
      </w:r>
      <w:r>
        <w:rPr>
          <w:rFonts w:hint="eastAsia" w:ascii="仿宋_GB2312" w:hAnsi="仿宋_GB2312" w:eastAsia="仿宋_GB2312" w:cs="仿宋_GB2312"/>
          <w:color w:val="auto"/>
          <w:spacing w:val="-2"/>
          <w:sz w:val="32"/>
          <w:szCs w:val="32"/>
        </w:rPr>
        <w:t>本办法自行废止。</w:t>
      </w:r>
    </w:p>
    <w:p w14:paraId="73550CB3">
      <w:pPr>
        <w:keepNext w:val="0"/>
        <w:keepLines w:val="0"/>
        <w:pageBreakBefore w:val="0"/>
        <w:kinsoku/>
        <w:wordWrap/>
        <w:overflowPunct/>
        <w:topLinePunct w:val="0"/>
        <w:autoSpaceDE/>
        <w:autoSpaceDN/>
        <w:bidi w:val="0"/>
        <w:adjustRightInd/>
        <w:snapToGrid/>
        <w:spacing w:line="560" w:lineRule="exact"/>
        <w:ind w:left="0" w:right="0" w:firstLine="656"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pacing w:val="4"/>
          <w:sz w:val="32"/>
          <w:szCs w:val="32"/>
        </w:rPr>
        <w:t>第十六条</w:t>
      </w:r>
      <w:r>
        <w:rPr>
          <w:rFonts w:hint="eastAsia" w:ascii="仿宋_GB2312" w:hAnsi="仿宋_GB2312" w:eastAsia="仿宋_GB2312" w:cs="仿宋_GB2312"/>
          <w:b/>
          <w:bCs/>
          <w:color w:val="auto"/>
          <w:spacing w:val="4"/>
          <w:sz w:val="32"/>
          <w:szCs w:val="32"/>
          <w:lang w:val="en-US" w:eastAsia="zh-CN"/>
        </w:rPr>
        <w:t xml:space="preserve"> </w:t>
      </w:r>
      <w:r>
        <w:rPr>
          <w:rFonts w:hint="eastAsia" w:ascii="仿宋_GB2312" w:hAnsi="仿宋_GB2312" w:eastAsia="仿宋_GB2312" w:cs="仿宋_GB2312"/>
          <w:color w:val="auto"/>
          <w:spacing w:val="4"/>
          <w:sz w:val="32"/>
          <w:szCs w:val="32"/>
        </w:rPr>
        <w:t>坚持在不突破底线、不损害农民集体和个人权益</w:t>
      </w:r>
      <w:r>
        <w:rPr>
          <w:rFonts w:hint="eastAsia" w:ascii="仿宋_GB2312" w:hAnsi="仿宋_GB2312" w:eastAsia="仿宋_GB2312" w:cs="仿宋_GB2312"/>
          <w:color w:val="auto"/>
          <w:spacing w:val="11"/>
          <w:sz w:val="32"/>
          <w:szCs w:val="32"/>
        </w:rPr>
        <w:t>的前提下，尊重实际，守正创新，稳妥推进。在推进改革中因缺</w:t>
      </w:r>
      <w:r>
        <w:rPr>
          <w:rFonts w:hint="eastAsia" w:ascii="仿宋_GB2312" w:hAnsi="仿宋_GB2312" w:eastAsia="仿宋_GB2312" w:cs="仿宋_GB2312"/>
          <w:color w:val="auto"/>
          <w:spacing w:val="5"/>
          <w:sz w:val="32"/>
          <w:szCs w:val="32"/>
        </w:rPr>
        <w:t>乏经验、先行先试出现的“探索性失误”,不追究个人责任。</w:t>
      </w:r>
    </w:p>
    <w:p w14:paraId="4483890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660" w:firstLineChars="200"/>
        <w:textAlignment w:val="auto"/>
        <w:rPr>
          <w:rFonts w:hint="eastAsia" w:ascii="仿宋_GB2312" w:hAnsi="仿宋" w:eastAsia="仿宋_GB2312" w:cs="仿宋"/>
          <w:sz w:val="32"/>
          <w:szCs w:val="32"/>
          <w:lang w:val="en-US" w:eastAsia="zh-CN"/>
        </w:rPr>
      </w:pPr>
      <w:r>
        <w:rPr>
          <w:rFonts w:hint="eastAsia" w:ascii="黑体" w:hAnsi="黑体" w:eastAsia="黑体" w:cs="黑体"/>
          <w:b w:val="0"/>
          <w:bCs w:val="0"/>
          <w:color w:val="auto"/>
          <w:spacing w:val="5"/>
          <w:sz w:val="32"/>
          <w:szCs w:val="32"/>
        </w:rPr>
        <w:t>第十七条</w:t>
      </w:r>
      <w:r>
        <w:rPr>
          <w:rFonts w:hint="eastAsia" w:ascii="仿宋_GB2312" w:hAnsi="仿宋_GB2312" w:eastAsia="仿宋_GB2312" w:cs="仿宋_GB2312"/>
          <w:b/>
          <w:bCs/>
          <w:color w:val="auto"/>
          <w:spacing w:val="5"/>
          <w:sz w:val="32"/>
          <w:szCs w:val="32"/>
          <w:lang w:val="en-US" w:eastAsia="zh-CN"/>
        </w:rPr>
        <w:t xml:space="preserve"> </w:t>
      </w:r>
      <w:r>
        <w:rPr>
          <w:rFonts w:hint="eastAsia" w:ascii="仿宋_GB2312" w:hAnsi="仿宋_GB2312" w:eastAsia="仿宋_GB2312" w:cs="仿宋_GB2312"/>
          <w:color w:val="auto"/>
          <w:spacing w:val="5"/>
          <w:sz w:val="32"/>
          <w:szCs w:val="32"/>
        </w:rPr>
        <w:t>本指导意见自公布之日起实施，由县自然资源</w:t>
      </w:r>
      <w:r>
        <w:rPr>
          <w:rFonts w:hint="eastAsia" w:ascii="仿宋_GB2312" w:hAnsi="仿宋_GB2312" w:eastAsia="仿宋_GB2312" w:cs="仿宋_GB2312"/>
          <w:color w:val="auto"/>
          <w:spacing w:val="-1"/>
          <w:sz w:val="32"/>
          <w:szCs w:val="32"/>
        </w:rPr>
        <w:t>局具体负责</w:t>
      </w:r>
      <w:r>
        <w:rPr>
          <w:rFonts w:hint="eastAsia" w:ascii="仿宋_GB2312" w:hAnsi="仿宋_GB2312" w:eastAsia="仿宋_GB2312" w:cs="仿宋_GB2312"/>
          <w:color w:val="auto"/>
          <w:spacing w:val="5"/>
          <w:sz w:val="32"/>
          <w:szCs w:val="32"/>
        </w:rPr>
        <w:t>解释。施行过程中与法律法规及上级政策不一致的从其规定。</w:t>
      </w:r>
    </w:p>
    <w:p w14:paraId="650B6FFA">
      <w:pPr>
        <w:spacing w:line="600" w:lineRule="exact"/>
        <w:jc w:val="center"/>
        <w:rPr>
          <w:rFonts w:hint="eastAsia" w:ascii="仿宋_GB2312" w:hAnsi="仿宋_GB2312" w:eastAsia="仿宋_GB2312" w:cs="仿宋_GB2312"/>
          <w:color w:val="333333"/>
          <w:sz w:val="32"/>
          <w:szCs w:val="32"/>
          <w:shd w:val="clear" w:color="auto" w:fill="FFFFFF"/>
        </w:rPr>
      </w:pPr>
      <w:bookmarkStart w:id="11" w:name="_GoBack"/>
      <w:bookmarkEnd w:id="11"/>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9890C">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759D1">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D6759D1">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33439358">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彰武县人民政府发布     </w:t>
    </w:r>
  </w:p>
  <w:p w14:paraId="66E004A4">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EB213">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6CFC7D8A">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彰武县人民政府</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3OWYzZWU5MmFmOGVmNDNlN2ZlZjU2NmQ4M2UwYTIifQ=="/>
  </w:docVars>
  <w:rsids>
    <w:rsidRoot w:val="00172A27"/>
    <w:rsid w:val="001000E8"/>
    <w:rsid w:val="00102C52"/>
    <w:rsid w:val="00172A27"/>
    <w:rsid w:val="001C4A7A"/>
    <w:rsid w:val="001E1F7C"/>
    <w:rsid w:val="0064614C"/>
    <w:rsid w:val="007D210C"/>
    <w:rsid w:val="008F3097"/>
    <w:rsid w:val="009718D7"/>
    <w:rsid w:val="00AC6825"/>
    <w:rsid w:val="00F144C5"/>
    <w:rsid w:val="019E71BD"/>
    <w:rsid w:val="03707230"/>
    <w:rsid w:val="04B679C3"/>
    <w:rsid w:val="07417A70"/>
    <w:rsid w:val="07554BBC"/>
    <w:rsid w:val="080F63D8"/>
    <w:rsid w:val="09341458"/>
    <w:rsid w:val="0ACB2D46"/>
    <w:rsid w:val="0B0912D7"/>
    <w:rsid w:val="1502193F"/>
    <w:rsid w:val="152D2DCA"/>
    <w:rsid w:val="18561AAE"/>
    <w:rsid w:val="18CB70F6"/>
    <w:rsid w:val="1DEC284C"/>
    <w:rsid w:val="1E6523AC"/>
    <w:rsid w:val="1F9B38D9"/>
    <w:rsid w:val="22440422"/>
    <w:rsid w:val="24D75076"/>
    <w:rsid w:val="2E171974"/>
    <w:rsid w:val="31A15F24"/>
    <w:rsid w:val="395347B5"/>
    <w:rsid w:val="39A232A0"/>
    <w:rsid w:val="39E745AA"/>
    <w:rsid w:val="3B5A6BBB"/>
    <w:rsid w:val="3EDA13A6"/>
    <w:rsid w:val="3FA87C99"/>
    <w:rsid w:val="42F058B7"/>
    <w:rsid w:val="436109F6"/>
    <w:rsid w:val="441A38D4"/>
    <w:rsid w:val="4BC77339"/>
    <w:rsid w:val="4C866B3B"/>
    <w:rsid w:val="4C9236C5"/>
    <w:rsid w:val="4FB451F9"/>
    <w:rsid w:val="505C172E"/>
    <w:rsid w:val="52F46F0B"/>
    <w:rsid w:val="53D8014D"/>
    <w:rsid w:val="55E064E0"/>
    <w:rsid w:val="572C6D10"/>
    <w:rsid w:val="5DC34279"/>
    <w:rsid w:val="608816D1"/>
    <w:rsid w:val="60EF4E7F"/>
    <w:rsid w:val="62780F23"/>
    <w:rsid w:val="665233C1"/>
    <w:rsid w:val="67F1149D"/>
    <w:rsid w:val="687327F4"/>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annotation text"/>
    <w:basedOn w:val="1"/>
    <w:qFormat/>
    <w:uiPriority w:val="0"/>
    <w:pPr>
      <w:jc w:val="left"/>
    </w:pPr>
  </w:style>
  <w:style w:type="paragraph" w:styleId="4">
    <w:name w:val="Date"/>
    <w:basedOn w:val="1"/>
    <w:next w:val="1"/>
    <w:link w:val="13"/>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75" w:after="75"/>
      <w:jc w:val="left"/>
    </w:pPr>
    <w:rPr>
      <w:rFonts w:cs="Times New Roman"/>
      <w:kern w:val="0"/>
      <w:sz w:val="24"/>
    </w:rPr>
  </w:style>
  <w:style w:type="character" w:styleId="10">
    <w:name w:val="Strong"/>
    <w:basedOn w:val="9"/>
    <w:qFormat/>
    <w:uiPriority w:val="0"/>
    <w:rPr>
      <w:b/>
    </w:rPr>
  </w:style>
  <w:style w:type="paragraph" w:customStyle="1" w:styleId="11">
    <w:name w:val="1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2">
    <w:name w:val="gz_t3"/>
    <w:basedOn w:val="9"/>
    <w:qFormat/>
    <w:uiPriority w:val="0"/>
  </w:style>
  <w:style w:type="character" w:customStyle="1" w:styleId="13">
    <w:name w:val="日期 字符"/>
    <w:basedOn w:val="9"/>
    <w:link w:val="4"/>
    <w:qFormat/>
    <w:uiPriority w:val="0"/>
    <w:rPr>
      <w:rFonts w:asciiTheme="minorHAnsi" w:hAnsiTheme="minorHAnsi" w:eastAsiaTheme="minorEastAsia" w:cstheme="minorBidi"/>
      <w:kern w:val="2"/>
      <w:sz w:val="21"/>
      <w:szCs w:val="24"/>
    </w:rPr>
  </w:style>
  <w:style w:type="paragraph" w:customStyle="1" w:styleId="14">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rPr>
      <w:rFonts w:ascii="Verdana" w:hAnsi="Verdana" w:eastAsia="仿宋_GB2312" w:cs="Verdana"/>
      <w:kern w:val="0"/>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2055</Words>
  <Characters>2072</Characters>
  <Lines>37</Lines>
  <Paragraphs>10</Paragraphs>
  <TotalTime>7</TotalTime>
  <ScaleCrop>false</ScaleCrop>
  <LinksUpToDate>false</LinksUpToDate>
  <CharactersWithSpaces>2197</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2023-03-28T07:56:00Z</dcterms:created>
  <dc:creator>t</dc:creator>
  <cp:lastModifiedBy>Administrator</cp:lastModifiedBy>
  <cp:lastPrinted>2023-03-28T07:57:00Z</cp:lastPrinted>
  <dcterms:modified xsi:type="dcterms:W3CDTF">2025-12-26T01:01:35Z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24943002B0E747A4BFC7AD027F12286A_13</vt:lpwstr>
  </property>
  <property fmtid="{D5CDD505-2E9C-101B-9397-08002B2CF9AE}" pid="4" name="KSOTemplateDocerSaveRecord">
    <vt:lpwstr>eyJoZGlkIjoiMDc3OWYzZWU5MmFmOGVmNDNlN2ZlZjU2NmQ4M2UwYTIiLCJ1c2VySWQiOiI1MDQxODg2NTIifQ==</vt:lpwstr>
  </property>
</Properties>
</file>