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DE65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rPr>
        <w:t>彰武县</w:t>
      </w:r>
      <w:r>
        <w:rPr>
          <w:rFonts w:hint="eastAsia" w:ascii="宋体" w:hAnsi="宋体" w:eastAsia="宋体" w:cs="宋体"/>
          <w:b/>
          <w:bCs/>
          <w:sz w:val="44"/>
          <w:szCs w:val="44"/>
          <w:lang w:val="en-US" w:eastAsia="zh-CN"/>
        </w:rPr>
        <w:t>甘草、</w:t>
      </w:r>
      <w:r>
        <w:rPr>
          <w:rFonts w:hint="eastAsia" w:ascii="宋体" w:hAnsi="宋体" w:eastAsia="宋体" w:cs="宋体"/>
          <w:b/>
          <w:bCs/>
          <w:sz w:val="44"/>
          <w:szCs w:val="44"/>
        </w:rPr>
        <w:t>麻黄草</w:t>
      </w:r>
      <w:r>
        <w:rPr>
          <w:rFonts w:hint="eastAsia" w:ascii="宋体" w:hAnsi="宋体" w:eastAsia="宋体" w:cs="宋体"/>
          <w:b/>
          <w:bCs/>
          <w:sz w:val="44"/>
          <w:szCs w:val="44"/>
          <w:lang w:val="en-US" w:eastAsia="zh-CN"/>
        </w:rPr>
        <w:t>人工种植发展规划</w:t>
      </w:r>
    </w:p>
    <w:p w14:paraId="5C87C25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宋体" w:hAnsi="宋体" w:eastAsia="宋体" w:cs="宋体"/>
          <w:b/>
          <w:bCs/>
          <w:sz w:val="44"/>
          <w:szCs w:val="44"/>
          <w:lang w:val="en-US" w:eastAsia="zh-CN"/>
        </w:rPr>
      </w:pPr>
      <w:r>
        <w:rPr>
          <w:rFonts w:hint="eastAsia" w:ascii="宋体" w:hAnsi="宋体" w:eastAsia="宋体" w:cs="宋体"/>
          <w:b/>
          <w:bCs/>
          <w:sz w:val="44"/>
          <w:szCs w:val="44"/>
        </w:rPr>
        <w:t>（2026</w:t>
      </w:r>
      <w:r>
        <w:rPr>
          <w:rFonts w:hint="eastAsia" w:ascii="宋体" w:hAnsi="宋体" w:eastAsia="宋体" w:cs="宋体"/>
          <w:b/>
          <w:bCs/>
          <w:sz w:val="44"/>
          <w:szCs w:val="44"/>
          <w:lang w:eastAsia="zh-CN"/>
        </w:rPr>
        <w:t>—</w:t>
      </w:r>
      <w:r>
        <w:rPr>
          <w:rFonts w:hint="eastAsia" w:ascii="宋体" w:hAnsi="宋体" w:eastAsia="宋体" w:cs="宋体"/>
          <w:b/>
          <w:bCs/>
          <w:sz w:val="44"/>
          <w:szCs w:val="44"/>
        </w:rPr>
        <w:t>2028年）</w:t>
      </w:r>
      <w:r>
        <w:rPr>
          <w:rFonts w:hint="eastAsia" w:ascii="宋体" w:hAnsi="宋体" w:eastAsia="宋体" w:cs="宋体"/>
          <w:b/>
          <w:bCs/>
          <w:sz w:val="44"/>
          <w:szCs w:val="44"/>
          <w:lang w:val="en-US" w:eastAsia="zh-CN"/>
        </w:rPr>
        <w:t>（公开征求意见稿）</w:t>
      </w:r>
    </w:p>
    <w:p w14:paraId="02AFD7E2">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sz w:val="34"/>
          <w:szCs w:val="34"/>
        </w:rPr>
      </w:pPr>
    </w:p>
    <w:p w14:paraId="2D135AEC">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eastAsia="zh-CN"/>
        </w:rPr>
      </w:pPr>
      <w:r>
        <w:rPr>
          <w:rFonts w:hint="eastAsia" w:ascii="仿宋_GB2312" w:hAnsi="仿宋_GB2312" w:eastAsia="仿宋_GB2312" w:cs="仿宋_GB2312"/>
          <w:sz w:val="34"/>
          <w:szCs w:val="34"/>
        </w:rPr>
        <w:t>为深入贯彻习近平生态文明思想，牢固树立和践行绿水青山就是金山银山理念，扎实推进科尔沁沙地歼灭战部署，立足我县林下</w:t>
      </w:r>
      <w:r>
        <w:rPr>
          <w:rFonts w:hint="eastAsia" w:ascii="仿宋_GB2312" w:hAnsi="仿宋_GB2312" w:eastAsia="仿宋_GB2312" w:cs="仿宋_GB2312"/>
          <w:sz w:val="34"/>
          <w:szCs w:val="34"/>
          <w:lang w:val="en-US" w:eastAsia="zh-CN"/>
        </w:rPr>
        <w:t>土地</w:t>
      </w:r>
      <w:r>
        <w:rPr>
          <w:rFonts w:hint="eastAsia" w:ascii="仿宋_GB2312" w:hAnsi="仿宋_GB2312" w:eastAsia="仿宋_GB2312" w:cs="仿宋_GB2312"/>
          <w:sz w:val="34"/>
          <w:szCs w:val="34"/>
        </w:rPr>
        <w:t>资源禀赋，紧扣“两林经济”发展要求，统筹防风固沙生态功能与中药材产业经济效益，健全联农带农利益联结机制，严守甘草、麻黄草禁毒风险防控底线，坚决遏制非法滥挖野生甘草、麻黄草行为，严格落实国家关于甘草、麻黄草保护管理系列政策要求，实现生态增绿、产业增效、农户增收有机统一，结合我县实际，制定本规划</w:t>
      </w:r>
      <w:r>
        <w:rPr>
          <w:rFonts w:hint="eastAsia" w:ascii="仿宋_GB2312" w:hAnsi="仿宋_GB2312" w:eastAsia="仿宋_GB2312" w:cs="仿宋_GB2312"/>
          <w:sz w:val="34"/>
          <w:szCs w:val="34"/>
          <w:lang w:eastAsia="zh-CN"/>
        </w:rPr>
        <w:t>。</w:t>
      </w:r>
    </w:p>
    <w:p w14:paraId="20D6E5AF">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一、总体要求</w:t>
      </w:r>
    </w:p>
    <w:p w14:paraId="230E1969">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（一）指导思想</w:t>
      </w:r>
    </w:p>
    <w:p w14:paraId="140ACDD7">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b w:val="0"/>
          <w:bCs w:val="0"/>
          <w:sz w:val="34"/>
          <w:szCs w:val="34"/>
        </w:rPr>
      </w:pPr>
      <w:r>
        <w:rPr>
          <w:rFonts w:hint="eastAsia" w:ascii="仿宋_GB2312" w:hAnsi="仿宋_GB2312" w:eastAsia="仿宋_GB2312" w:cs="仿宋_GB2312"/>
          <w:b w:val="0"/>
          <w:bCs w:val="0"/>
          <w:sz w:val="34"/>
          <w:szCs w:val="34"/>
        </w:rPr>
        <w:t>坚持生态优先、依法管控、示范引领、安全可控、联农富民，将甘草、麻黄草人工种植纳入全县防沙治沙、草原生态修复总体布局，作为沙地植被修复、发展沙地林下特色中药材产业的重要抓手。严格落实种植主体准入、备案管理、种子种苗溯源、种植管护、采收报备、储运销售全链条闭环可追溯管理，压实“谁培育、谁管理、谁负责”主体责任，构建“政府监管、主体实施、多方联防、属地落实”工作格局。坚持人工基地建设与野生资源保护同步部署、同步管控，推动甘草、麻黄草人工种植产业合规有序发展，筑牢辽西北生态安全屏障，为彰武县经济社会高质量发展注入新动能。</w:t>
      </w:r>
    </w:p>
    <w:p w14:paraId="727E75D3">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（二）基本原则</w:t>
      </w:r>
    </w:p>
    <w:p w14:paraId="53149EA6">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bCs/>
          <w:sz w:val="34"/>
          <w:szCs w:val="34"/>
          <w:lang w:val="en-US" w:eastAsia="zh-CN"/>
        </w:rPr>
        <w:t>1.生态为本，适地适种。</w:t>
      </w:r>
      <w:r>
        <w:rPr>
          <w:rFonts w:hint="eastAsia" w:ascii="仿宋_GB2312" w:hAnsi="仿宋_GB2312" w:eastAsia="仿宋_GB2312" w:cs="仿宋_GB2312"/>
          <w:b w:val="0"/>
          <w:bCs w:val="0"/>
          <w:sz w:val="34"/>
          <w:szCs w:val="34"/>
          <w:lang w:val="en-US" w:eastAsia="zh-CN"/>
        </w:rPr>
        <w:t>选择南北阻沙区开展人工种植，严禁毁林、毁草开荒，严禁侵占公益林、草原开展种植；全域禁止商业性采挖野生甘草、麻黄草，</w:t>
      </w:r>
      <w:r>
        <w:rPr>
          <w:rFonts w:hint="eastAsia" w:ascii="仿宋_GB2312" w:hAnsi="仿宋_GB2312" w:eastAsia="仿宋_GB2312" w:cs="仿宋_GB2312"/>
          <w:b w:val="0"/>
          <w:bCs w:val="0"/>
          <w:color w:val="auto"/>
          <w:sz w:val="34"/>
          <w:szCs w:val="34"/>
          <w:u w:val="none"/>
          <w:lang w:val="en-US" w:eastAsia="zh-CN"/>
        </w:rPr>
        <w:t>严禁利用野生植株、种子种苗开展扩繁，</w:t>
      </w:r>
      <w:r>
        <w:rPr>
          <w:rFonts w:hint="eastAsia" w:ascii="仿宋_GB2312" w:hAnsi="仿宋_GB2312" w:eastAsia="仿宋_GB2312" w:cs="仿宋_GB2312"/>
          <w:b w:val="0"/>
          <w:bCs w:val="0"/>
          <w:sz w:val="34"/>
          <w:szCs w:val="34"/>
          <w:lang w:val="en-US" w:eastAsia="zh-CN"/>
        </w:rPr>
        <w:t>充分发挥甘草、麻黄草固沙保土生态效能。</w:t>
      </w:r>
    </w:p>
    <w:p w14:paraId="47E135FF">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bCs/>
          <w:sz w:val="34"/>
          <w:szCs w:val="34"/>
          <w:lang w:val="en-US" w:eastAsia="zh-CN"/>
        </w:rPr>
        <w:t>2.主体准入，全程管控。</w:t>
      </w:r>
      <w:r>
        <w:rPr>
          <w:rFonts w:hint="eastAsia" w:ascii="仿宋_GB2312" w:hAnsi="仿宋_GB2312" w:eastAsia="仿宋_GB2312" w:cs="仿宋_GB2312"/>
          <w:b w:val="0"/>
          <w:bCs w:val="0"/>
          <w:sz w:val="34"/>
          <w:szCs w:val="34"/>
          <w:lang w:val="en-US" w:eastAsia="zh-CN"/>
        </w:rPr>
        <w:t>严格种植主体资质条件，实行先审核、先备案、后种植；种子种苗、种植、采收、仓储、运输、销售各环节闭环可追溯，严防麻黄草流入非法制毒渠道。压实属地政府、经营主体双重责任，严格执行甘草、麻黄草收购许可管理制度，产品仅销售给具备法定收购资质的经营主体，规范购销链条。</w:t>
      </w:r>
    </w:p>
    <w:p w14:paraId="32B7DA13">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3.示范先行，稳步推进。</w:t>
      </w:r>
      <w:r>
        <w:rPr>
          <w:rFonts w:hint="eastAsia" w:ascii="仿宋_GB2312" w:hAnsi="仿宋_GB2312" w:eastAsia="仿宋_GB2312" w:cs="仿宋_GB2312"/>
          <w:b w:val="0"/>
          <w:bCs w:val="0"/>
          <w:sz w:val="34"/>
          <w:szCs w:val="34"/>
          <w:lang w:val="en-US" w:eastAsia="zh-CN"/>
        </w:rPr>
        <w:t>坚持试点示范、由点及面，优先在草原生态恢复示范区及四合城镇、章古台镇、后新秋镇、大德镇、阿尔乡镇、大冷镇、西六家子镇、两家子镇、五峰镇布局，科学把控发展节奏，不盲目扩大规模，先打造标准化示范基地，总结成熟经验后有序推广。</w:t>
      </w:r>
    </w:p>
    <w:p w14:paraId="686F84AA">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bCs/>
          <w:sz w:val="34"/>
          <w:szCs w:val="34"/>
          <w:lang w:val="en-US" w:eastAsia="zh-CN"/>
        </w:rPr>
        <w:t>4.联防共治，压实责任。</w:t>
      </w:r>
      <w:r>
        <w:rPr>
          <w:rFonts w:hint="eastAsia" w:ascii="仿宋_GB2312" w:hAnsi="仿宋_GB2312" w:eastAsia="仿宋_GB2312" w:cs="仿宋_GB2312"/>
          <w:b w:val="0"/>
          <w:bCs w:val="0"/>
          <w:sz w:val="34"/>
          <w:szCs w:val="34"/>
          <w:lang w:val="en-US" w:eastAsia="zh-CN"/>
        </w:rPr>
        <w:t>健全部门协同监管机制，明确各部门在种子种苗、种植、田间管护、采收、仓储、运输、销售各环节监管职责；乡镇落实网格化属地监管，强化多部门联合执法，严厉打击非法采挖野生甘草麻黄草、无备案种植、违规购销等违法行为。</w:t>
      </w:r>
    </w:p>
    <w:p w14:paraId="3A443188">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val="0"/>
          <w:bCs w:val="0"/>
          <w:sz w:val="34"/>
          <w:szCs w:val="34"/>
          <w:highlight w:val="none"/>
          <w:lang w:val="en-US" w:eastAsia="zh-CN"/>
        </w:rPr>
      </w:pPr>
      <w:r>
        <w:rPr>
          <w:rFonts w:hint="eastAsia" w:ascii="仿宋_GB2312" w:hAnsi="仿宋_GB2312" w:eastAsia="仿宋_GB2312" w:cs="仿宋_GB2312"/>
          <w:b/>
          <w:bCs/>
          <w:sz w:val="34"/>
          <w:szCs w:val="34"/>
          <w:highlight w:val="none"/>
          <w:lang w:val="en-US" w:eastAsia="zh-CN"/>
        </w:rPr>
        <w:t>5.明晰边界，防控风险。</w:t>
      </w:r>
      <w:r>
        <w:rPr>
          <w:rFonts w:hint="eastAsia" w:ascii="仿宋_GB2312" w:hAnsi="仿宋_GB2312" w:eastAsia="仿宋_GB2312" w:cs="仿宋_GB2312"/>
          <w:b w:val="0"/>
          <w:bCs w:val="0"/>
          <w:sz w:val="34"/>
          <w:szCs w:val="34"/>
          <w:highlight w:val="none"/>
          <w:lang w:val="en-US" w:eastAsia="zh-CN"/>
        </w:rPr>
        <w:t>严格审查拟种植地块地类、权属及流转手续，逐块开展地类核查上图入库，地类存疑地块不予报备；严禁假借林下闲置地名义变相开垦草原、破坏未成林造林地及原生植被。建立基地风险退出机制，人工种植基地发生严重生态退化、出现重大涉毒风险隐患，由工作专班组织综合评估，依法责令主体退出、清除植株并恢复原有生态植被。</w:t>
      </w:r>
    </w:p>
    <w:p w14:paraId="33CA7CBA">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（三）</w:t>
      </w:r>
      <w:r>
        <w:rPr>
          <w:rFonts w:hint="eastAsia" w:ascii="楷体_GB2312" w:hAnsi="楷体_GB2312" w:eastAsia="楷体_GB2312" w:cs="楷体_GB2312"/>
          <w:b/>
          <w:bCs/>
          <w:sz w:val="34"/>
          <w:szCs w:val="34"/>
          <w:lang w:val="en-US" w:eastAsia="zh-CN"/>
        </w:rPr>
        <w:t>发展</w:t>
      </w:r>
      <w:r>
        <w:rPr>
          <w:rFonts w:hint="eastAsia" w:ascii="楷体_GB2312" w:hAnsi="楷体_GB2312" w:eastAsia="楷体_GB2312" w:cs="楷体_GB2312"/>
          <w:b/>
          <w:bCs/>
          <w:sz w:val="34"/>
          <w:szCs w:val="34"/>
        </w:rPr>
        <w:t>目标</w:t>
      </w:r>
    </w:p>
    <w:p w14:paraId="0DF4A748">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2026</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2028年，立足彰武县南北阻沙带生态治理布局、科尔沁沙地歼灭战总体部署，项目</w:t>
      </w:r>
      <w:r>
        <w:rPr>
          <w:rFonts w:hint="eastAsia" w:ascii="仿宋_GB2312" w:hAnsi="仿宋_GB2312" w:eastAsia="仿宋_GB2312" w:cs="仿宋_GB2312"/>
          <w:sz w:val="34"/>
          <w:szCs w:val="34"/>
          <w:lang w:val="en-US" w:eastAsia="zh-CN"/>
        </w:rPr>
        <w:t>在</w:t>
      </w:r>
      <w:r>
        <w:rPr>
          <w:rFonts w:hint="eastAsia" w:ascii="仿宋_GB2312" w:hAnsi="仿宋_GB2312" w:eastAsia="仿宋_GB2312" w:cs="仿宋_GB2312"/>
          <w:sz w:val="34"/>
          <w:szCs w:val="34"/>
        </w:rPr>
        <w:t>彰武草原生态恢复示范区管委会、相关乡镇</w:t>
      </w:r>
      <w:r>
        <w:rPr>
          <w:rFonts w:hint="eastAsia" w:ascii="仿宋_GB2312" w:hAnsi="仿宋_GB2312" w:eastAsia="仿宋_GB2312" w:cs="仿宋_GB2312"/>
          <w:sz w:val="34"/>
          <w:szCs w:val="34"/>
          <w:lang w:val="en-US" w:eastAsia="zh-CN"/>
        </w:rPr>
        <w:t>域内实施，通过招商引资，招引具备资质企业</w:t>
      </w:r>
      <w:r>
        <w:rPr>
          <w:rFonts w:hint="eastAsia" w:ascii="仿宋_GB2312" w:hAnsi="仿宋_GB2312" w:eastAsia="仿宋_GB2312" w:cs="仿宋_GB2312"/>
          <w:sz w:val="34"/>
          <w:szCs w:val="34"/>
        </w:rPr>
        <w:t>、合作社</w:t>
      </w:r>
      <w:r>
        <w:rPr>
          <w:rFonts w:hint="eastAsia" w:ascii="仿宋_GB2312" w:hAnsi="仿宋_GB2312" w:eastAsia="仿宋_GB2312" w:cs="仿宋_GB2312"/>
          <w:sz w:val="34"/>
          <w:szCs w:val="34"/>
          <w:lang w:eastAsia="zh-CN"/>
        </w:rPr>
        <w:t>等</w:t>
      </w:r>
      <w:r>
        <w:rPr>
          <w:rFonts w:hint="eastAsia" w:ascii="仿宋_GB2312" w:hAnsi="仿宋_GB2312" w:eastAsia="仿宋_GB2312" w:cs="仿宋_GB2312"/>
          <w:sz w:val="34"/>
          <w:szCs w:val="34"/>
          <w:lang w:val="en-US" w:eastAsia="zh-CN"/>
        </w:rPr>
        <w:t>进行</w:t>
      </w:r>
      <w:r>
        <w:rPr>
          <w:rFonts w:hint="eastAsia" w:ascii="仿宋_GB2312" w:hAnsi="仿宋_GB2312" w:eastAsia="仿宋_GB2312" w:cs="仿宋_GB2312"/>
          <w:sz w:val="34"/>
          <w:szCs w:val="34"/>
        </w:rPr>
        <w:t>合作，科学布局特色固沙中药材产业基地，助力筑牢辽西北生态安全屏障。三年</w:t>
      </w:r>
      <w:r>
        <w:rPr>
          <w:rFonts w:hint="eastAsia" w:ascii="仿宋_GB2312" w:hAnsi="仿宋_GB2312" w:eastAsia="仿宋_GB2312" w:cs="仿宋_GB2312"/>
          <w:sz w:val="34"/>
          <w:szCs w:val="34"/>
          <w:lang w:val="en-US" w:eastAsia="zh-CN"/>
        </w:rPr>
        <w:t>计划发展</w:t>
      </w:r>
      <w:r>
        <w:rPr>
          <w:rFonts w:hint="eastAsia" w:ascii="仿宋_GB2312" w:hAnsi="仿宋_GB2312" w:eastAsia="仿宋_GB2312" w:cs="仿宋_GB2312"/>
          <w:sz w:val="34"/>
          <w:szCs w:val="34"/>
        </w:rPr>
        <w:t>甘草、麻黄草人工规范种植</w:t>
      </w:r>
      <w:r>
        <w:rPr>
          <w:rFonts w:hint="eastAsia" w:ascii="仿宋_GB2312" w:hAnsi="仿宋_GB2312" w:eastAsia="仿宋_GB2312" w:cs="仿宋_GB2312"/>
          <w:sz w:val="34"/>
          <w:szCs w:val="34"/>
          <w:highlight w:val="none"/>
          <w:lang w:val="en-US" w:eastAsia="zh-CN"/>
        </w:rPr>
        <w:t>5000</w:t>
      </w:r>
      <w:r>
        <w:rPr>
          <w:rFonts w:hint="eastAsia" w:ascii="仿宋_GB2312" w:hAnsi="仿宋_GB2312" w:eastAsia="仿宋_GB2312" w:cs="仿宋_GB2312"/>
          <w:sz w:val="34"/>
          <w:szCs w:val="34"/>
          <w:highlight w:val="none"/>
        </w:rPr>
        <w:t>亩，</w:t>
      </w:r>
      <w:r>
        <w:rPr>
          <w:rFonts w:hint="eastAsia" w:ascii="仿宋_GB2312" w:hAnsi="仿宋_GB2312" w:eastAsia="仿宋_GB2312" w:cs="仿宋_GB2312"/>
          <w:sz w:val="34"/>
          <w:szCs w:val="34"/>
        </w:rPr>
        <w:t>建成集生态修复、固沙治沙、产业示范、农户增收于一体的标准化示范种植基地。</w:t>
      </w:r>
    </w:p>
    <w:p w14:paraId="7C3BD65F">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highlight w:val="none"/>
          <w:lang w:val="en-US" w:eastAsia="zh-CN"/>
        </w:rPr>
      </w:pPr>
      <w:r>
        <w:rPr>
          <w:rFonts w:hint="eastAsia" w:ascii="楷体_GB2312" w:hAnsi="楷体_GB2312" w:eastAsia="楷体_GB2312" w:cs="楷体_GB2312"/>
          <w:b/>
          <w:bCs/>
          <w:sz w:val="34"/>
          <w:szCs w:val="34"/>
          <w:highlight w:val="none"/>
          <w:lang w:eastAsia="zh-CN"/>
        </w:rPr>
        <w:t>（</w:t>
      </w:r>
      <w:r>
        <w:rPr>
          <w:rFonts w:hint="eastAsia" w:ascii="楷体_GB2312" w:hAnsi="楷体_GB2312" w:eastAsia="楷体_GB2312" w:cs="楷体_GB2312"/>
          <w:b/>
          <w:bCs/>
          <w:sz w:val="34"/>
          <w:szCs w:val="34"/>
          <w:highlight w:val="none"/>
          <w:lang w:val="en-US" w:eastAsia="zh-CN"/>
        </w:rPr>
        <w:t>四</w:t>
      </w:r>
      <w:r>
        <w:rPr>
          <w:rFonts w:hint="eastAsia" w:ascii="楷体_GB2312" w:hAnsi="楷体_GB2312" w:eastAsia="楷体_GB2312" w:cs="楷体_GB2312"/>
          <w:b/>
          <w:bCs/>
          <w:sz w:val="34"/>
          <w:szCs w:val="34"/>
          <w:highlight w:val="none"/>
          <w:lang w:eastAsia="zh-CN"/>
        </w:rPr>
        <w:t>）</w:t>
      </w:r>
      <w:r>
        <w:rPr>
          <w:rFonts w:hint="eastAsia" w:ascii="楷体_GB2312" w:hAnsi="楷体_GB2312" w:eastAsia="楷体_GB2312" w:cs="楷体_GB2312"/>
          <w:b/>
          <w:bCs/>
          <w:sz w:val="34"/>
          <w:szCs w:val="34"/>
          <w:highlight w:val="none"/>
          <w:lang w:val="en-US" w:eastAsia="zh-CN"/>
        </w:rPr>
        <w:t>合规地类属性</w:t>
      </w:r>
    </w:p>
    <w:p w14:paraId="5E296927">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rPr>
      </w:pPr>
      <w:r>
        <w:rPr>
          <w:rFonts w:hint="eastAsia" w:ascii="仿宋_GB2312" w:hAnsi="仿宋_GB2312" w:eastAsia="仿宋_GB2312" w:cs="仿宋_GB2312"/>
          <w:sz w:val="34"/>
          <w:szCs w:val="34"/>
          <w:highlight w:val="none"/>
        </w:rPr>
        <w:t>依托县域合规林下空闲沙地资源，严格以国土“三调”成果作为地类认定底板，遵照草原、林地管控法律法规及国家、省关于甘草、麻黄草管理相关政策，规模化推进甘草、麻黄草规范化种植。拟种植地块必须开展地类联合核实，由</w:t>
      </w:r>
      <w:r>
        <w:rPr>
          <w:rFonts w:hint="eastAsia" w:ascii="仿宋_GB2312" w:hAnsi="仿宋_GB2312" w:eastAsia="仿宋_GB2312" w:cs="仿宋_GB2312"/>
          <w:sz w:val="34"/>
          <w:szCs w:val="34"/>
          <w:highlight w:val="none"/>
          <w:lang w:val="en-US" w:eastAsia="zh-CN"/>
        </w:rPr>
        <w:t>县</w:t>
      </w:r>
      <w:r>
        <w:rPr>
          <w:rFonts w:hint="eastAsia" w:ascii="仿宋_GB2312" w:hAnsi="仿宋_GB2312" w:eastAsia="仿宋_GB2312" w:cs="仿宋_GB2312"/>
          <w:sz w:val="34"/>
          <w:szCs w:val="34"/>
          <w:highlight w:val="none"/>
        </w:rPr>
        <w:t>自然资源局</w:t>
      </w:r>
      <w:r>
        <w:rPr>
          <w:rFonts w:hint="eastAsia" w:ascii="仿宋_GB2312" w:hAnsi="仿宋_GB2312" w:eastAsia="仿宋_GB2312" w:cs="仿宋_GB2312"/>
          <w:sz w:val="34"/>
          <w:szCs w:val="34"/>
          <w:highlight w:val="none"/>
          <w:lang w:eastAsia="zh-CN"/>
        </w:rPr>
        <w:t>、</w:t>
      </w:r>
      <w:r>
        <w:rPr>
          <w:rFonts w:hint="eastAsia" w:ascii="仿宋_GB2312" w:hAnsi="仿宋_GB2312" w:eastAsia="仿宋_GB2312" w:cs="仿宋_GB2312"/>
          <w:sz w:val="34"/>
          <w:szCs w:val="34"/>
          <w:highlight w:val="none"/>
          <w:lang w:val="en-US" w:eastAsia="zh-CN"/>
        </w:rPr>
        <w:t>县林业和草原局</w:t>
      </w:r>
      <w:r>
        <w:rPr>
          <w:rFonts w:hint="eastAsia" w:ascii="仿宋_GB2312" w:hAnsi="仿宋_GB2312" w:eastAsia="仿宋_GB2312" w:cs="仿宋_GB2312"/>
          <w:sz w:val="34"/>
          <w:szCs w:val="34"/>
          <w:highlight w:val="none"/>
        </w:rPr>
        <w:t>、</w:t>
      </w:r>
      <w:r>
        <w:rPr>
          <w:rFonts w:hint="eastAsia" w:ascii="仿宋_GB2312" w:hAnsi="仿宋_GB2312" w:eastAsia="仿宋_GB2312" w:cs="仿宋_GB2312"/>
          <w:sz w:val="34"/>
          <w:szCs w:val="34"/>
          <w:highlight w:val="none"/>
          <w:lang w:val="en-US" w:eastAsia="zh-CN"/>
        </w:rPr>
        <w:t>县</w:t>
      </w:r>
      <w:r>
        <w:rPr>
          <w:rFonts w:hint="eastAsia" w:ascii="仿宋_GB2312" w:hAnsi="仿宋_GB2312" w:eastAsia="仿宋_GB2312" w:cs="仿宋_GB2312"/>
          <w:sz w:val="34"/>
          <w:szCs w:val="34"/>
          <w:highlight w:val="none"/>
        </w:rPr>
        <w:t>农业农村局共同开展实地核查、审定地类，出具地类核实意见。合规规模化种植甘草、麻黄草地类界定，准许实施区域仅限以下两类：</w:t>
      </w:r>
    </w:p>
    <w:p w14:paraId="37EE9D43">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lang w:val="en-US" w:eastAsia="zh-CN"/>
        </w:rPr>
      </w:pPr>
      <w:r>
        <w:rPr>
          <w:rFonts w:hint="eastAsia" w:ascii="仿宋_GB2312" w:hAnsi="仿宋_GB2312" w:eastAsia="仿宋_GB2312" w:cs="仿宋_GB2312"/>
          <w:sz w:val="34"/>
          <w:szCs w:val="34"/>
          <w:highlight w:val="none"/>
          <w:lang w:val="en-US" w:eastAsia="zh-CN"/>
        </w:rPr>
        <w:t>1.商品林地：依规实施林下间种，采取林下种植模式，禁止采伐林木、清理原生林下植被、大面积翻耕土层，林木抚育与药材管护同步推进，保障林地防风固沙生态功能不降低。</w:t>
      </w:r>
    </w:p>
    <w:p w14:paraId="16403149">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lang w:val="en-US" w:eastAsia="zh-CN"/>
        </w:rPr>
      </w:pPr>
      <w:r>
        <w:rPr>
          <w:rFonts w:hint="eastAsia" w:ascii="仿宋_GB2312" w:hAnsi="仿宋_GB2312" w:eastAsia="仿宋_GB2312" w:cs="仿宋_GB2312"/>
          <w:sz w:val="34"/>
          <w:szCs w:val="34"/>
          <w:highlight w:val="none"/>
          <w:lang w:val="en-US" w:eastAsia="zh-CN"/>
        </w:rPr>
        <w:t>2.国家二级公益林、省级公益林地：在不削弱生态功能前提下，经科学论证、县级以上林草部门同意后，方可开展林下种植，严格控制栽植规模与整地方式，守住生态保护底线。</w:t>
      </w:r>
    </w:p>
    <w:p w14:paraId="59ACE789">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黑体" w:hAnsi="黑体" w:eastAsia="黑体" w:cs="黑体"/>
          <w:sz w:val="34"/>
          <w:szCs w:val="34"/>
        </w:rPr>
      </w:pP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五</w:t>
      </w: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实施范围</w:t>
      </w:r>
    </w:p>
    <w:p w14:paraId="5CF148B4">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default" w:ascii="仿宋_GB2312" w:hAnsi="仿宋_GB2312" w:eastAsia="仿宋_GB2312" w:cs="仿宋_GB2312"/>
          <w:color w:val="auto"/>
          <w:sz w:val="34"/>
          <w:szCs w:val="34"/>
          <w:highlight w:val="none"/>
          <w:lang w:val="en-US" w:eastAsia="zh-CN"/>
        </w:rPr>
      </w:pPr>
      <w:r>
        <w:rPr>
          <w:rFonts w:hint="eastAsia" w:ascii="仿宋_GB2312" w:hAnsi="仿宋_GB2312" w:eastAsia="仿宋_GB2312" w:cs="仿宋_GB2312"/>
          <w:color w:val="auto"/>
          <w:sz w:val="34"/>
          <w:szCs w:val="34"/>
          <w:highlight w:val="none"/>
          <w:lang w:val="en-US" w:eastAsia="zh-CN"/>
        </w:rPr>
        <w:t>彰武草原生态恢复示范区管委会和</w:t>
      </w:r>
      <w:r>
        <w:rPr>
          <w:rFonts w:hint="eastAsia" w:ascii="仿宋_GB2312" w:hAnsi="仿宋_GB2312" w:eastAsia="仿宋_GB2312" w:cs="仿宋_GB2312"/>
          <w:b w:val="0"/>
          <w:bCs w:val="0"/>
          <w:sz w:val="34"/>
          <w:szCs w:val="34"/>
          <w:lang w:val="en-US" w:eastAsia="zh-CN"/>
        </w:rPr>
        <w:t>阿尔乡镇、章古台镇、四合城镇、后新秋镇、大德镇、大冷镇、西六家子镇、五峰镇、两家子镇所辖区域</w:t>
      </w:r>
      <w:r>
        <w:rPr>
          <w:rFonts w:hint="eastAsia" w:ascii="仿宋_GB2312" w:hAnsi="仿宋_GB2312" w:eastAsia="仿宋_GB2312" w:cs="仿宋_GB2312"/>
          <w:color w:val="auto"/>
          <w:sz w:val="34"/>
          <w:szCs w:val="34"/>
          <w:highlight w:val="none"/>
          <w:lang w:val="en-US" w:eastAsia="zh-CN"/>
        </w:rPr>
        <w:t>为实施范围，充分利用林下闲置地块，发展甘草、麻黄草特色中药材产业。</w:t>
      </w:r>
      <w:r>
        <w:rPr>
          <w:rFonts w:hint="eastAsia" w:ascii="仿宋_GB2312" w:hAnsi="仿宋_GB2312" w:eastAsia="仿宋_GB2312" w:cs="仿宋_GB2312"/>
          <w:sz w:val="34"/>
          <w:szCs w:val="34"/>
          <w:highlight w:val="none"/>
          <w:u w:val="none"/>
        </w:rPr>
        <w:t>种植过程中不得毁林，严禁在</w:t>
      </w:r>
      <w:r>
        <w:rPr>
          <w:rFonts w:hint="eastAsia" w:ascii="仿宋_GB2312" w:hAnsi="仿宋_GB2312" w:eastAsia="仿宋_GB2312" w:cs="仿宋_GB2312"/>
          <w:sz w:val="34"/>
          <w:szCs w:val="34"/>
          <w:highlight w:val="none"/>
          <w:u w:val="none"/>
          <w:lang w:val="en-US" w:eastAsia="zh-CN"/>
        </w:rPr>
        <w:t>基本</w:t>
      </w:r>
      <w:r>
        <w:rPr>
          <w:rFonts w:hint="eastAsia" w:ascii="仿宋_GB2312" w:hAnsi="仿宋_GB2312" w:eastAsia="仿宋_GB2312" w:cs="仿宋_GB2312"/>
          <w:sz w:val="34"/>
          <w:szCs w:val="34"/>
          <w:highlight w:val="none"/>
          <w:u w:val="none"/>
        </w:rPr>
        <w:t>草原、</w:t>
      </w:r>
      <w:r>
        <w:rPr>
          <w:rFonts w:hint="eastAsia" w:ascii="仿宋_GB2312" w:hAnsi="仿宋_GB2312" w:eastAsia="仿宋_GB2312" w:cs="仿宋_GB2312"/>
          <w:sz w:val="34"/>
          <w:szCs w:val="34"/>
          <w:highlight w:val="none"/>
          <w:u w:val="none"/>
          <w:lang w:val="en-US" w:eastAsia="zh-CN"/>
        </w:rPr>
        <w:t>国家一级</w:t>
      </w:r>
      <w:r>
        <w:rPr>
          <w:rFonts w:hint="eastAsia" w:ascii="仿宋_GB2312" w:hAnsi="仿宋_GB2312" w:eastAsia="仿宋_GB2312" w:cs="仿宋_GB2312"/>
          <w:sz w:val="34"/>
          <w:szCs w:val="34"/>
          <w:highlight w:val="none"/>
          <w:u w:val="none"/>
        </w:rPr>
        <w:t>公益林</w:t>
      </w:r>
      <w:r>
        <w:rPr>
          <w:rFonts w:hint="eastAsia" w:ascii="仿宋_GB2312" w:hAnsi="仿宋_GB2312" w:eastAsia="仿宋_GB2312" w:cs="仿宋_GB2312"/>
          <w:sz w:val="34"/>
          <w:szCs w:val="34"/>
          <w:highlight w:val="none"/>
          <w:u w:val="none"/>
          <w:lang w:eastAsia="zh-CN"/>
        </w:rPr>
        <w:t>、</w:t>
      </w:r>
      <w:r>
        <w:rPr>
          <w:rFonts w:hint="eastAsia" w:ascii="仿宋_GB2312" w:hAnsi="仿宋_GB2312" w:eastAsia="仿宋_GB2312" w:cs="仿宋_GB2312"/>
          <w:sz w:val="34"/>
          <w:szCs w:val="34"/>
          <w:highlight w:val="none"/>
          <w:u w:val="none"/>
          <w:lang w:val="en-US" w:eastAsia="zh-CN"/>
        </w:rPr>
        <w:t>基本农田等</w:t>
      </w:r>
      <w:r>
        <w:rPr>
          <w:rFonts w:hint="eastAsia" w:ascii="仿宋_GB2312" w:hAnsi="仿宋_GB2312" w:eastAsia="仿宋_GB2312" w:cs="仿宋_GB2312"/>
          <w:sz w:val="34"/>
          <w:szCs w:val="34"/>
          <w:highlight w:val="none"/>
          <w:u w:val="none"/>
        </w:rPr>
        <w:t>范围内种植。</w:t>
      </w:r>
      <w:r>
        <w:rPr>
          <w:rFonts w:hint="eastAsia" w:ascii="仿宋_GB2312" w:hAnsi="仿宋_GB2312" w:eastAsia="仿宋_GB2312" w:cs="仿宋_GB2312"/>
          <w:color w:val="auto"/>
          <w:sz w:val="34"/>
          <w:szCs w:val="34"/>
          <w:highlight w:val="none"/>
          <w:lang w:val="en-US" w:eastAsia="zh-CN"/>
        </w:rPr>
        <w:t>2026年完成100亩，2027年完成4500亩，2028年完成400亩。</w:t>
      </w:r>
    </w:p>
    <w:p w14:paraId="331E6CAA">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黑体" w:hAnsi="黑体" w:eastAsia="黑体" w:cs="黑体"/>
          <w:b w:val="0"/>
          <w:bCs w:val="0"/>
          <w:sz w:val="34"/>
          <w:szCs w:val="34"/>
          <w:lang w:val="en-US" w:eastAsia="zh-CN"/>
        </w:rPr>
      </w:pPr>
      <w:r>
        <w:rPr>
          <w:rFonts w:hint="eastAsia" w:ascii="黑体" w:hAnsi="黑体" w:eastAsia="黑体" w:cs="黑体"/>
          <w:b w:val="0"/>
          <w:bCs w:val="0"/>
          <w:sz w:val="34"/>
          <w:szCs w:val="34"/>
          <w:lang w:val="en-US" w:eastAsia="zh-CN"/>
        </w:rPr>
        <w:t>二、规划落实措施</w:t>
      </w:r>
    </w:p>
    <w:p w14:paraId="7B6E807C">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（一）严格种植主体准入审核，落实备案管理制度</w:t>
      </w:r>
    </w:p>
    <w:p w14:paraId="6511EE1F">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bCs/>
          <w:sz w:val="34"/>
          <w:szCs w:val="34"/>
          <w:lang w:val="en-US" w:eastAsia="zh-CN"/>
        </w:rPr>
        <w:t>1.</w:t>
      </w:r>
      <w:r>
        <w:rPr>
          <w:rFonts w:hint="eastAsia" w:ascii="仿宋_GB2312" w:hAnsi="仿宋_GB2312" w:eastAsia="仿宋_GB2312" w:cs="仿宋_GB2312"/>
          <w:b w:val="0"/>
          <w:bCs w:val="0"/>
          <w:sz w:val="34"/>
          <w:szCs w:val="34"/>
          <w:lang w:val="en-US" w:eastAsia="zh-CN"/>
        </w:rPr>
        <w:t>种植主体准入备案。甘草、麻黄草为国家管制药用植物，仅限具备相应条件的企业、农民专业合作社实施，原则上不允许散户独立开展规模化种植。主体应当具备以下条件：</w:t>
      </w:r>
    </w:p>
    <w:p w14:paraId="46E616CE">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val="0"/>
          <w:bCs w:val="0"/>
          <w:sz w:val="34"/>
          <w:szCs w:val="34"/>
          <w:lang w:val="en-US" w:eastAsia="zh-CN"/>
        </w:rPr>
        <w:t>①具备独立法人资格，无涉毒、破坏草原林地、非法采挖野生固沙植物违法失信记录；</w:t>
      </w:r>
    </w:p>
    <w:p w14:paraId="4D176E7A">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val="0"/>
          <w:bCs w:val="0"/>
          <w:sz w:val="34"/>
          <w:szCs w:val="34"/>
          <w:lang w:val="en-US" w:eastAsia="zh-CN"/>
        </w:rPr>
        <w:t>②具备与种植规模匹配的土地流转手续、固定仓储库房，仓储要满足人防、物防、技防要求，安装24小时视频监控；</w:t>
      </w:r>
    </w:p>
    <w:p w14:paraId="1F525FBD">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val="0"/>
          <w:bCs w:val="0"/>
          <w:sz w:val="34"/>
          <w:szCs w:val="34"/>
          <w:lang w:val="en-US" w:eastAsia="zh-CN"/>
        </w:rPr>
        <w:t>③配备专职田间管护人员和台账管理人员，熟悉甘草、麻黄草管控、野生植物保护相关法律法规；</w:t>
      </w:r>
    </w:p>
    <w:p w14:paraId="40987E2A">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b w:val="0"/>
          <w:bCs w:val="0"/>
          <w:sz w:val="34"/>
          <w:szCs w:val="34"/>
          <w:lang w:val="en-US" w:eastAsia="zh-CN"/>
        </w:rPr>
      </w:pPr>
      <w:r>
        <w:rPr>
          <w:rFonts w:hint="eastAsia" w:ascii="仿宋_GB2312" w:hAnsi="仿宋_GB2312" w:eastAsia="仿宋_GB2312" w:cs="仿宋_GB2312"/>
          <w:b w:val="0"/>
          <w:bCs w:val="0"/>
          <w:sz w:val="34"/>
          <w:szCs w:val="34"/>
          <w:lang w:val="en-US" w:eastAsia="zh-CN"/>
        </w:rPr>
        <w:t>④承诺严格执行种子溯源、种植、采收、仓储、销售全链条台账制度，承诺绝不采集、使用野生甘草、麻黄草种子及植株，自觉接受多部门联合监督检查。</w:t>
      </w:r>
    </w:p>
    <w:p w14:paraId="0ACFD025">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（牵头单位：县林业和草原局；配合单位：县公安局、县农业农村局、县工信局、彰武草原生态恢复示范区管委会、相关乡镇）</w:t>
      </w:r>
    </w:p>
    <w:p w14:paraId="6ECD11CD">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2.压实种植主体种子种苗来源第一主体责任。</w:t>
      </w:r>
      <w:r>
        <w:rPr>
          <w:rFonts w:hint="eastAsia" w:ascii="仿宋_GB2312" w:hAnsi="仿宋_GB2312" w:eastAsia="仿宋_GB2312" w:cs="仿宋_GB2312"/>
          <w:sz w:val="34"/>
          <w:szCs w:val="34"/>
        </w:rPr>
        <w:t>全面落实种植主体准入备案制度，实现种子种苗来源100%全程可溯源；健全地块台账、田间档案、溯源监管体系，所有种植地块全部上图入库、一地一档、动态管控</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明确地块位置、面积、流转主体、种植企业（合作社）、管护责任人</w:t>
      </w:r>
      <w:r>
        <w:rPr>
          <w:rFonts w:hint="eastAsia" w:ascii="仿宋_GB2312" w:hAnsi="仿宋_GB2312" w:eastAsia="仿宋_GB2312" w:cs="仿宋_GB2312"/>
          <w:sz w:val="34"/>
          <w:szCs w:val="34"/>
          <w:lang w:val="en-US" w:eastAsia="zh-CN"/>
        </w:rPr>
        <w:t>等</w:t>
      </w:r>
      <w:r>
        <w:rPr>
          <w:rFonts w:hint="eastAsia" w:ascii="仿宋_GB2312" w:hAnsi="仿宋_GB2312" w:eastAsia="仿宋_GB2312" w:cs="仿宋_GB2312"/>
          <w:sz w:val="34"/>
          <w:szCs w:val="34"/>
        </w:rPr>
        <w:t>。</w:t>
      </w:r>
      <w:r>
        <w:rPr>
          <w:rFonts w:hint="eastAsia" w:ascii="仿宋_GB2312" w:hAnsi="仿宋_GB2312" w:eastAsia="仿宋_GB2312" w:cs="仿宋_GB2312"/>
          <w:sz w:val="34"/>
          <w:szCs w:val="34"/>
          <w:lang w:val="en-US" w:eastAsia="zh-CN"/>
        </w:rPr>
        <w:t>严禁将来源不明、野生采挖的甘草、麻黄草种子种苗用于人工种植，严禁私自到野外采收野生甘草、麻黄草种子、植株用于扩繁。种植主体需提供供种单位资质、种子质量检验证明，完整留存购销合同、交易票据、植物检疫等材料，规范建立种子种苗管理台账，翔实记录品种、数量、来源、购入时间、使用地块等信息。严格区分人工繁育种子种苗与野生种质，坚决杜绝野生种质流入人工种植基地。</w:t>
      </w:r>
    </w:p>
    <w:p w14:paraId="529FA3C6">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（牵头单位：县林业和草原局；配合单位：县农业农村局、彰武草原生态恢复示范区管委会、相关乡镇）</w:t>
      </w:r>
    </w:p>
    <w:p w14:paraId="76D1CF58">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lang w:val="en-US" w:eastAsia="zh-CN"/>
        </w:rPr>
        <w:t>（二）严格备案管理，落实先备案后种植制度</w:t>
      </w:r>
    </w:p>
    <w:p w14:paraId="746FDCB7">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b w:val="0"/>
          <w:bCs w:val="0"/>
          <w:sz w:val="34"/>
          <w:szCs w:val="34"/>
          <w:highlight w:val="none"/>
        </w:rPr>
      </w:pPr>
      <w:r>
        <w:rPr>
          <w:rFonts w:hint="eastAsia" w:ascii="仿宋_GB2312" w:hAnsi="仿宋_GB2312" w:eastAsia="仿宋_GB2312" w:cs="仿宋_GB2312"/>
          <w:b w:val="0"/>
          <w:bCs w:val="0"/>
          <w:sz w:val="34"/>
          <w:szCs w:val="34"/>
        </w:rPr>
        <w:t>严格落实备案管理制度，执行先备案、后种植刚性规定。种植主体需提交经营资质材料、</w:t>
      </w:r>
      <w:r>
        <w:rPr>
          <w:rFonts w:hint="eastAsia" w:ascii="仿宋_GB2312" w:hAnsi="仿宋_GB2312" w:eastAsia="仿宋_GB2312" w:cs="仿宋_GB2312"/>
          <w:b w:val="0"/>
          <w:bCs w:val="0"/>
          <w:sz w:val="34"/>
          <w:szCs w:val="34"/>
          <w:lang w:val="en-US" w:eastAsia="zh-CN"/>
        </w:rPr>
        <w:t>林地</w:t>
      </w:r>
      <w:r>
        <w:rPr>
          <w:rFonts w:hint="eastAsia" w:ascii="仿宋_GB2312" w:hAnsi="仿宋_GB2312" w:eastAsia="仿宋_GB2312" w:cs="仿宋_GB2312"/>
          <w:b w:val="0"/>
          <w:bCs w:val="0"/>
          <w:sz w:val="34"/>
          <w:szCs w:val="34"/>
        </w:rPr>
        <w:t>流转合同、地块区位示意图、种子种苗来源凭证、安防设施建设方案；</w:t>
      </w:r>
      <w:r>
        <w:rPr>
          <w:rFonts w:hint="eastAsia" w:ascii="仿宋_GB2312" w:hAnsi="仿宋_GB2312" w:eastAsia="仿宋_GB2312" w:cs="仿宋_GB2312"/>
          <w:b w:val="0"/>
          <w:bCs w:val="0"/>
          <w:sz w:val="34"/>
          <w:szCs w:val="34"/>
          <w:highlight w:val="none"/>
        </w:rPr>
        <w:t>由县林业和草原局牵头，县公安局、县农业农村局、县工信局联合开展审核，审核通过后完成种植信息报备。该备案仅为行业内部监管信息登记，不属于法定行政许可事项，备案办结不视为对地块土地利用类别合法性予以认定，未完成报备一律不得开展种植作业。采收采集须严格遵照国家、辽宁省下达的年度采集计划实施，依法向省级林草主管部门申领采集证。</w:t>
      </w:r>
    </w:p>
    <w:p w14:paraId="41F19D67">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（牵头单位：县林业和草原局；配合单位：县公安局、县农业农村局、县工信局、彰武草原生态恢复示范区管委会、相关乡镇）</w:t>
      </w:r>
    </w:p>
    <w:p w14:paraId="689A494E">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三</w:t>
      </w:r>
      <w:r>
        <w:rPr>
          <w:rFonts w:hint="eastAsia" w:ascii="楷体_GB2312" w:hAnsi="楷体_GB2312" w:eastAsia="楷体_GB2312" w:cs="楷体_GB2312"/>
          <w:b/>
          <w:bCs/>
          <w:sz w:val="34"/>
          <w:szCs w:val="34"/>
        </w:rPr>
        <w:t>）严格规范采收环节管理</w:t>
      </w:r>
    </w:p>
    <w:p w14:paraId="1543A1D5">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1.</w:t>
      </w:r>
      <w:r>
        <w:rPr>
          <w:rFonts w:hint="eastAsia" w:ascii="仿宋_GB2312" w:hAnsi="仿宋_GB2312" w:eastAsia="仿宋_GB2312" w:cs="仿宋_GB2312"/>
          <w:sz w:val="34"/>
          <w:szCs w:val="34"/>
        </w:rPr>
        <w:t>采收实行事前报备制度</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lang w:val="en-US" w:eastAsia="zh-CN"/>
        </w:rPr>
        <w:t>主体于每年年底或年初向县林业和草原局、县公安局提报年度采收意向计划，说明拟采收地块、面积、预估产量、计划采收时段。</w:t>
      </w:r>
      <w:r>
        <w:rPr>
          <w:rFonts w:hint="eastAsia" w:ascii="仿宋_GB2312" w:hAnsi="仿宋_GB2312" w:eastAsia="仿宋_GB2312" w:cs="仿宋_GB2312"/>
          <w:sz w:val="34"/>
          <w:szCs w:val="34"/>
          <w:highlight w:val="none"/>
          <w:lang w:val="en-US" w:eastAsia="zh-CN"/>
        </w:rPr>
        <w:t>受气候、自然灾害影响，实际长势与意向计划不一致的可据实调整。计划采收前2个月，主体核实相关信息无误后，正式提交采收申请材料。县林业和草原局开展现场核查、完成初审后组卷上报省级林草主管部门申请办理采集证，凭省级核发的采集证，</w:t>
      </w:r>
      <w:r>
        <w:rPr>
          <w:rFonts w:hint="eastAsia" w:ascii="仿宋_GB2312" w:hAnsi="仿宋_GB2312" w:eastAsia="仿宋_GB2312" w:cs="仿宋_GB2312"/>
          <w:sz w:val="34"/>
          <w:szCs w:val="34"/>
          <w:lang w:val="en-US" w:eastAsia="zh-CN"/>
        </w:rPr>
        <w:t>在县公安局、县交通运输局、县工信局、县商务局、县市场监督管理局等部门共同监管下，方可启动采收、运输、加工以及流通销售。</w:t>
      </w:r>
    </w:p>
    <w:p w14:paraId="7FADC9C0">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b/>
          <w:bCs/>
          <w:sz w:val="34"/>
          <w:szCs w:val="34"/>
          <w:lang w:val="en-US" w:eastAsia="zh-CN"/>
        </w:rPr>
        <w:t>（牵头单位：县林业和草原局、县公安局、县交通运输局、县工信局、县商务局、县市场监督管理局等职能部门、彰武草原生态恢复示范区管委会、相关乡镇）</w:t>
      </w:r>
      <w:r>
        <w:rPr>
          <w:rFonts w:hint="eastAsia" w:ascii="仿宋_GB2312" w:hAnsi="仿宋_GB2312" w:eastAsia="仿宋_GB2312" w:cs="仿宋_GB2312"/>
          <w:sz w:val="34"/>
          <w:szCs w:val="34"/>
          <w:lang w:val="en-US" w:eastAsia="zh-CN"/>
        </w:rPr>
        <w:t xml:space="preserve">  </w:t>
      </w:r>
    </w:p>
    <w:p w14:paraId="7020C407">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eastAsia="zh-CN"/>
        </w:rPr>
      </w:pPr>
      <w:r>
        <w:rPr>
          <w:rFonts w:hint="eastAsia" w:ascii="仿宋_GB2312" w:hAnsi="仿宋_GB2312" w:eastAsia="仿宋_GB2312" w:cs="仿宋_GB2312"/>
          <w:sz w:val="34"/>
          <w:szCs w:val="34"/>
          <w:lang w:val="en-US" w:eastAsia="zh-CN"/>
        </w:rPr>
        <w:t>2.</w:t>
      </w:r>
      <w:r>
        <w:rPr>
          <w:rFonts w:hint="eastAsia" w:ascii="仿宋_GB2312" w:hAnsi="仿宋_GB2312" w:eastAsia="仿宋_GB2312" w:cs="仿宋_GB2312"/>
          <w:sz w:val="34"/>
          <w:szCs w:val="34"/>
        </w:rPr>
        <w:t>严格执行采收标准，甘草</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麻黄草达到生长年限方可开展采收，经现场核验植株长势达标，方可纳入采收计划</w:t>
      </w:r>
      <w:r>
        <w:rPr>
          <w:rFonts w:hint="eastAsia" w:ascii="仿宋_GB2312" w:hAnsi="仿宋_GB2312" w:eastAsia="仿宋_GB2312" w:cs="仿宋_GB2312"/>
          <w:sz w:val="34"/>
          <w:szCs w:val="34"/>
          <w:lang w:eastAsia="zh-CN"/>
        </w:rPr>
        <w:t>；对未按标准提前采收、超限额采收、掠夺式采挖的种植主体，立即停止其采收资格，限期整改；造成生态破坏的，责令开展植被修复；涉嫌违法的移交公安、市场监管等部门依法处置。</w:t>
      </w:r>
    </w:p>
    <w:p w14:paraId="34DD5C9A">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（牵头单位：县林业和草原局；配合单位：县农业农村局、县公安局、县市场监督管理局、彰武草原生态恢复示范区管委会、相关乡镇）</w:t>
      </w:r>
    </w:p>
    <w:p w14:paraId="555F8FCE">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3.采收全过程可追溯，做好采收台账记录，翔实登记采收日期、地块位置、采收产量、作业人员等信息，实现全程可追溯。县林业和草原局负责现场核查采收规范、作业方式；县公安局全程开展现场监督、风险管控；县交通运输局负责路面运输环节巡查管控、非法运输线索移交；县工信局负责监管合规收购主体，把控原料合规流向。其他相关乡镇督促采收物料全部闭环转运至备案专用仓储点，严禁就地堆放、私自截留、私自外流，杜绝原料失控流失风险。</w:t>
      </w:r>
    </w:p>
    <w:p w14:paraId="31CA7B8F">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（牵头单位：县林业和草原局；配合单位：县公安局、县工信局、县交通运输局、彰武草原生态恢复示范区管委会、相关乡镇）</w:t>
      </w:r>
    </w:p>
    <w:p w14:paraId="2CB1E6EF">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四</w:t>
      </w:r>
      <w:r>
        <w:rPr>
          <w:rFonts w:hint="eastAsia" w:ascii="楷体_GB2312" w:hAnsi="楷体_GB2312" w:eastAsia="楷体_GB2312" w:cs="楷体_GB2312"/>
          <w:b/>
          <w:bCs/>
          <w:sz w:val="34"/>
          <w:szCs w:val="34"/>
        </w:rPr>
        <w:t>）健全仓储、运输、销售全链条闭环监管</w:t>
      </w:r>
    </w:p>
    <w:p w14:paraId="6991E234">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1.仓储场所落实人防、物防、技防措施，全覆盖安装24小时视频监控，实行专人管理、专库存放、上锁管控，健全完善出入库登记台账，做到批次清晰、账物相符、来源可查、去向可追，严防私自流失、非法挪用。</w:t>
      </w:r>
    </w:p>
    <w:p w14:paraId="76820808">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 xml:space="preserve">（牵头单位：县公安局；配合单位：县林业和草原局、县工信局、彰武草原生态恢复示范区管委会、相关乡镇） </w:t>
      </w:r>
    </w:p>
    <w:p w14:paraId="2A1D55F3">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2.运输甘草、麻黄草，主体启运前须向县公安局报备运输数量、起止地点、承运单位、车辆信息、购销合同等资料，未完成报备手续一律不得启运。运输甘草、麻黄草应当做到货证相符，全程留存运输台账，配合相关部门路面核查检查。</w:t>
      </w:r>
    </w:p>
    <w:p w14:paraId="51910CB3">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（牵头单位：县公安局；配合单位：县工信局、县交通运输局、县林业和草原局）</w:t>
      </w:r>
    </w:p>
    <w:p w14:paraId="083638F4">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lang w:val="en-US" w:eastAsia="zh-CN"/>
        </w:rPr>
      </w:pPr>
      <w:r>
        <w:rPr>
          <w:rFonts w:hint="eastAsia" w:ascii="仿宋_GB2312" w:hAnsi="仿宋_GB2312" w:eastAsia="仿宋_GB2312" w:cs="仿宋_GB2312"/>
          <w:sz w:val="34"/>
          <w:szCs w:val="34"/>
          <w:lang w:val="en-US" w:eastAsia="zh-CN"/>
        </w:rPr>
        <w:t>3.</w:t>
      </w:r>
      <w:r>
        <w:rPr>
          <w:rFonts w:hint="eastAsia" w:ascii="仿宋_GB2312" w:hAnsi="仿宋_GB2312" w:eastAsia="仿宋_GB2312" w:cs="仿宋_GB2312"/>
          <w:sz w:val="34"/>
          <w:szCs w:val="34"/>
          <w:highlight w:val="none"/>
          <w:lang w:val="en-US" w:eastAsia="zh-CN"/>
        </w:rPr>
        <w:t>采集的甘草、麻黄草仅限销售至持有法定收购资质的收购企业、制药企业。交易前务必核验对方合法收购许可资质，签订规范正式购销合同，完整归档留存购销合同、税务发票、出库单据等全部交易资料，规范建立健全销售台账。严禁将甘草、麻黄草销售给资质的单位及个人，坚决防范麻黄草流失、流入非法制毒渠道。由县工信局统筹管控购销流通环节，县市场监督管理局定期核查购销台账，对私下收购、黑市倒卖等违法违规行为依法从严查处；县公安局严厉打击涉麻黄草制毒相关违法犯罪活动。</w:t>
      </w:r>
    </w:p>
    <w:p w14:paraId="115340A4">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（牵头单位：县工信局；配合单位：县公安局、县市场监督管理局、县林业和草原局）</w:t>
      </w:r>
    </w:p>
    <w:p w14:paraId="34323161">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五</w:t>
      </w:r>
      <w:r>
        <w:rPr>
          <w:rFonts w:hint="eastAsia" w:ascii="楷体_GB2312" w:hAnsi="楷体_GB2312" w:eastAsia="楷体_GB2312" w:cs="楷体_GB2312"/>
          <w:b/>
          <w:bCs/>
          <w:sz w:val="34"/>
          <w:szCs w:val="34"/>
        </w:rPr>
        <w:t>）强化巡查排查，开展专项监管行动</w:t>
      </w:r>
    </w:p>
    <w:p w14:paraId="6049200E">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1.建立县-乡-村-护林员四级网格化巡查机制，把甘草、麻黄草人工种植基地列为重点巡查对象，综合运用地面巡护、无人机航测等手段开展常态化踏查。重点核查种植主体资质、实际种植面积、种子种苗来源、采收作业、仓储管理等情况，排查盗挖野生甘草、麻黄草问题线索。</w:t>
      </w:r>
    </w:p>
    <w:p w14:paraId="6AAB8442">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（牵头单位：县林业和草原局；配合单位：县公安局、彰武草原生态恢复示范区管委会、相关乡镇）</w:t>
      </w:r>
    </w:p>
    <w:p w14:paraId="2A1656FF">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2.每年组织县林草、公安禁毒、工信、商务、市场监管、农业农村等部门及相关乡镇开展联合检查，严厉打击无备案种植、超备案种植、使用来源不明种苗、超备案面积种植、私自采收、违规销售以及非法采挖、收购野生甘草、麻黄草等违法违规行为；对排查发现涉嫌违法犯罪线索，及时移交公安机关依法处置。</w:t>
      </w:r>
    </w:p>
    <w:p w14:paraId="21FAD81F">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（牵头单位：县林业和草原局；配合单位：县公安局、县工信局、县市场监督管理局、县农业农村局、县交通运输局、县商务局、彰武草原生态恢复示范区管委会、相关乡镇）</w:t>
      </w:r>
    </w:p>
    <w:p w14:paraId="00298BA4">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3.强化普法宣传引导，面向种植经营主体、乡镇村干部、广大农户开展政策法规宣讲，讲清违规贩卖、盗挖野生固沙植物的法律责任与后果，压实企业、合作社等经营主体属地监管责任，引导群众自觉抵制非法采挖、违规交易行为。</w:t>
      </w:r>
    </w:p>
    <w:p w14:paraId="67A43F5A">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（牵头单位：县林业和草原局、彰武草原生态恢复示范区管委会、相关乡镇；配合单位：县公安局、县工信局、县农业农村局）</w:t>
      </w:r>
    </w:p>
    <w:p w14:paraId="45473E30">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六</w:t>
      </w:r>
      <w:r>
        <w:rPr>
          <w:rFonts w:hint="eastAsia" w:ascii="楷体_GB2312" w:hAnsi="楷体_GB2312" w:eastAsia="楷体_GB2312" w:cs="楷体_GB2312"/>
          <w:b/>
          <w:bCs/>
          <w:sz w:val="34"/>
          <w:szCs w:val="34"/>
        </w:rPr>
        <w:t>）强化技术支撑，做好示范总结</w:t>
      </w:r>
    </w:p>
    <w:p w14:paraId="2CF879A9">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1.</w:t>
      </w:r>
      <w:r>
        <w:rPr>
          <w:rFonts w:hint="eastAsia" w:ascii="仿宋_GB2312" w:hAnsi="仿宋_GB2312" w:eastAsia="仿宋_GB2312" w:cs="仿宋_GB2312"/>
          <w:sz w:val="34"/>
          <w:szCs w:val="34"/>
        </w:rPr>
        <w:t>对接科研单位，开展沙地林下甘草、麻黄草引种驯化、栽培管护、病虫害防控等技术指导，开展技术培训，提升种植主体技术水平。支持人工种植科研攻关导向，把人工种植基地作为沙地中药材试验示范载体。</w:t>
      </w:r>
    </w:p>
    <w:p w14:paraId="19191217">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（牵头单位：县林业和草原局；配合单位：县农业农村局、彰武草原生态恢复示范区管委会、相关乡镇）</w:t>
      </w:r>
    </w:p>
    <w:p w14:paraId="550630D5">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2.做好示范基地动态观测，持续跟踪植被固沙成效、产量等核心指标，三年规划实施期满后系统评估项目生态效益、经济效益，总结提炼形成可复制、可推广的辽西沙地甘草、麻黄草人工种植技术模式。</w:t>
      </w:r>
    </w:p>
    <w:p w14:paraId="22F65455">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仿宋_GB2312" w:hAnsi="仿宋_GB2312" w:eastAsia="仿宋_GB2312" w:cs="仿宋_GB2312"/>
          <w:b/>
          <w:bCs/>
          <w:sz w:val="34"/>
          <w:szCs w:val="34"/>
          <w:lang w:val="en-US" w:eastAsia="zh-CN"/>
        </w:rPr>
      </w:pPr>
      <w:r>
        <w:rPr>
          <w:rFonts w:hint="eastAsia" w:ascii="仿宋_GB2312" w:hAnsi="仿宋_GB2312" w:eastAsia="仿宋_GB2312" w:cs="仿宋_GB2312"/>
          <w:b/>
          <w:bCs/>
          <w:sz w:val="34"/>
          <w:szCs w:val="34"/>
          <w:lang w:val="en-US" w:eastAsia="zh-CN"/>
        </w:rPr>
        <w:t>（牵头单位：县林业和草原局；配合单位：县农业农村局、彰武草原生态恢复示范区管委会、相关乡镇）</w:t>
      </w:r>
    </w:p>
    <w:p w14:paraId="07944673">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四、保障措施</w:t>
      </w:r>
    </w:p>
    <w:p w14:paraId="7A1FEB26">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（一）加强组织领导</w:t>
      </w:r>
    </w:p>
    <w:p w14:paraId="74AA69CC">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成立县甘草、</w:t>
      </w:r>
      <w:r>
        <w:rPr>
          <w:rFonts w:hint="eastAsia" w:ascii="仿宋_GB2312" w:hAnsi="仿宋_GB2312" w:eastAsia="仿宋_GB2312" w:cs="仿宋_GB2312"/>
          <w:sz w:val="34"/>
          <w:szCs w:val="34"/>
        </w:rPr>
        <w:t>麻黄草发展</w:t>
      </w:r>
      <w:r>
        <w:rPr>
          <w:rFonts w:hint="eastAsia" w:ascii="仿宋_GB2312" w:hAnsi="仿宋_GB2312" w:eastAsia="仿宋_GB2312" w:cs="仿宋_GB2312"/>
          <w:sz w:val="34"/>
          <w:szCs w:val="34"/>
          <w:lang w:val="en-US" w:eastAsia="zh-CN"/>
        </w:rPr>
        <w:t>工作</w:t>
      </w:r>
      <w:r>
        <w:rPr>
          <w:rFonts w:hint="eastAsia" w:ascii="仿宋_GB2312" w:hAnsi="仿宋_GB2312" w:eastAsia="仿宋_GB2312" w:cs="仿宋_GB2312"/>
          <w:sz w:val="34"/>
          <w:szCs w:val="34"/>
        </w:rPr>
        <w:t>专班</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统筹</w:t>
      </w:r>
      <w:r>
        <w:rPr>
          <w:rFonts w:hint="eastAsia" w:ascii="仿宋_GB2312" w:hAnsi="仿宋_GB2312" w:eastAsia="仿宋_GB2312" w:cs="仿宋_GB2312"/>
          <w:sz w:val="34"/>
          <w:szCs w:val="34"/>
          <w:lang w:val="en-US" w:eastAsia="zh-CN"/>
        </w:rPr>
        <w:t>人工</w:t>
      </w:r>
      <w:r>
        <w:rPr>
          <w:rFonts w:hint="eastAsia" w:ascii="仿宋_GB2312" w:hAnsi="仿宋_GB2312" w:eastAsia="仿宋_GB2312" w:cs="仿宋_GB2312"/>
          <w:sz w:val="34"/>
          <w:szCs w:val="34"/>
        </w:rPr>
        <w:t>种植甘草</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麻黄草资源保护工作，定期调度项目推进、种子种苗管控、采收储运、风险防控、野生资源保护等情况，将甘草、麻黄草种植监管保护纳入禁种铲毒考核内容。</w:t>
      </w:r>
    </w:p>
    <w:p w14:paraId="7E742A81">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（二）严格督导考核</w:t>
      </w:r>
    </w:p>
    <w:p w14:paraId="58702500">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实行清单化管理、项目化推进，专班定期开展督导检查，重点核查主体资质、种子溯源、备案种植面积、采收报备、台账建立情况。对任务推进滞后、监管缺位、风险隐患突出的</w:t>
      </w:r>
      <w:r>
        <w:rPr>
          <w:rFonts w:hint="eastAsia" w:ascii="仿宋_GB2312" w:hAnsi="仿宋_GB2312" w:eastAsia="仿宋_GB2312" w:cs="仿宋_GB2312"/>
          <w:sz w:val="34"/>
          <w:szCs w:val="34"/>
          <w:lang w:val="en-US" w:eastAsia="zh-CN"/>
        </w:rPr>
        <w:t>种植</w:t>
      </w:r>
      <w:r>
        <w:rPr>
          <w:rFonts w:hint="eastAsia" w:ascii="仿宋_GB2312" w:hAnsi="仿宋_GB2312" w:eastAsia="仿宋_GB2312" w:cs="仿宋_GB2312"/>
          <w:sz w:val="34"/>
          <w:szCs w:val="34"/>
        </w:rPr>
        <w:t>主体予以通报，督促限期整改。</w:t>
      </w:r>
    </w:p>
    <w:p w14:paraId="157BD8A2">
      <w:pPr>
        <w:keepNext w:val="0"/>
        <w:keepLines w:val="0"/>
        <w:pageBreakBefore w:val="0"/>
        <w:widowControl w:val="0"/>
        <w:kinsoku/>
        <w:wordWrap/>
        <w:overflowPunct/>
        <w:topLinePunct w:val="0"/>
        <w:autoSpaceDE/>
        <w:autoSpaceDN/>
        <w:bidi w:val="0"/>
        <w:adjustRightInd/>
        <w:snapToGrid/>
        <w:spacing w:line="570" w:lineRule="exact"/>
        <w:ind w:firstLine="683" w:firstLineChars="200"/>
        <w:textAlignment w:val="auto"/>
        <w:rPr>
          <w:rFonts w:hint="eastAsia" w:ascii="楷体_GB2312" w:hAnsi="楷体_GB2312" w:eastAsia="楷体_GB2312" w:cs="楷体_GB2312"/>
          <w:b/>
          <w:bCs/>
          <w:sz w:val="34"/>
          <w:szCs w:val="34"/>
        </w:rPr>
      </w:pPr>
      <w:r>
        <w:rPr>
          <w:rFonts w:hint="eastAsia" w:ascii="楷体_GB2312" w:hAnsi="楷体_GB2312" w:eastAsia="楷体_GB2312" w:cs="楷体_GB2312"/>
          <w:b/>
          <w:bCs/>
          <w:sz w:val="34"/>
          <w:szCs w:val="34"/>
        </w:rPr>
        <w:t>（</w:t>
      </w:r>
      <w:r>
        <w:rPr>
          <w:rFonts w:hint="eastAsia" w:ascii="楷体_GB2312" w:hAnsi="楷体_GB2312" w:eastAsia="楷体_GB2312" w:cs="楷体_GB2312"/>
          <w:b/>
          <w:bCs/>
          <w:sz w:val="34"/>
          <w:szCs w:val="34"/>
          <w:lang w:val="en-US" w:eastAsia="zh-CN"/>
        </w:rPr>
        <w:t>三</w:t>
      </w:r>
      <w:r>
        <w:rPr>
          <w:rFonts w:hint="eastAsia" w:ascii="楷体_GB2312" w:hAnsi="楷体_GB2312" w:eastAsia="楷体_GB2312" w:cs="楷体_GB2312"/>
          <w:b/>
          <w:bCs/>
          <w:sz w:val="34"/>
          <w:szCs w:val="34"/>
        </w:rPr>
        <w:t>）评估验收</w:t>
      </w:r>
    </w:p>
    <w:p w14:paraId="01DE24D2">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2028年末，专班组织开展</w:t>
      </w:r>
      <w:r>
        <w:rPr>
          <w:rFonts w:hint="eastAsia" w:ascii="仿宋_GB2312" w:hAnsi="仿宋_GB2312" w:eastAsia="仿宋_GB2312" w:cs="仿宋_GB2312"/>
          <w:sz w:val="34"/>
          <w:szCs w:val="34"/>
          <w:lang w:val="en-US" w:eastAsia="zh-CN"/>
        </w:rPr>
        <w:t>发展</w:t>
      </w:r>
      <w:r>
        <w:rPr>
          <w:rFonts w:hint="eastAsia" w:ascii="仿宋_GB2312" w:hAnsi="仿宋_GB2312" w:eastAsia="仿宋_GB2312" w:cs="仿宋_GB2312"/>
          <w:sz w:val="34"/>
          <w:szCs w:val="34"/>
        </w:rPr>
        <w:t>规划综合评估验收，核查种植完成面积、主体资质合规情况、种子种苗溯源、基地管护、采收储运台账、联农带农、风险防控落实情况，总结经验做法，建立常态化监管长效机制。</w:t>
      </w:r>
    </w:p>
    <w:p w14:paraId="30352C76">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五、附则</w:t>
      </w:r>
    </w:p>
    <w:p w14:paraId="7F3D34F8">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1.</w:t>
      </w:r>
      <w:r>
        <w:rPr>
          <w:rFonts w:hint="eastAsia" w:ascii="仿宋_GB2312" w:hAnsi="仿宋_GB2312" w:eastAsia="仿宋_GB2312" w:cs="仿宋_GB2312"/>
          <w:sz w:val="34"/>
          <w:szCs w:val="34"/>
        </w:rPr>
        <w:t>本规划主要依据：</w:t>
      </w:r>
    </w:p>
    <w:p w14:paraId="7E8DC247">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《国务院关于禁止采集和销售发菜制止滥挖甘草和麻黄草有关问题的通知》（国发〔2000〕13 号）</w:t>
      </w:r>
    </w:p>
    <w:p w14:paraId="6948FC38">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《甘草和麻黄草采集管理办法》（农业部令2001年第1号）</w:t>
      </w:r>
    </w:p>
    <w:p w14:paraId="52360E78">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《国家发展改革委关于调整甘草和麻黄草专营、许可证管理工作的通知》（发改运行〔2004〕1095 号）</w:t>
      </w:r>
    </w:p>
    <w:p w14:paraId="4508CA96">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《陆生野生动物疫源疫病监测防控管理办法》、草原保护、森林、禁毒相关法律法规</w:t>
      </w:r>
    </w:p>
    <w:p w14:paraId="2C0D4E57">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《国家林业和草原局关于规范国家重点保护野生植物采集管理的通知》（林护规〔2022〕2 号）适用于野生植物资源保护管理。</w:t>
      </w:r>
    </w:p>
    <w:p w14:paraId="0750409D">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lang w:eastAsia="zh-CN"/>
        </w:rPr>
      </w:pPr>
      <w:r>
        <w:rPr>
          <w:rFonts w:hint="eastAsia" w:ascii="仿宋_GB2312" w:hAnsi="仿宋_GB2312" w:eastAsia="仿宋_GB2312" w:cs="仿宋_GB2312"/>
          <w:sz w:val="34"/>
          <w:szCs w:val="34"/>
          <w:highlight w:val="none"/>
        </w:rPr>
        <w:t>2.本规划属于县域工作指导文件，不创设行政处罚。各类违法违规行为，</w:t>
      </w:r>
      <w:r>
        <w:rPr>
          <w:rFonts w:hint="eastAsia" w:ascii="仿宋_GB2312" w:hAnsi="仿宋_GB2312" w:eastAsia="仿宋_GB2312" w:cs="仿宋_GB2312"/>
          <w:sz w:val="34"/>
          <w:szCs w:val="34"/>
          <w:highlight w:val="none"/>
          <w:lang w:val="en-US" w:eastAsia="zh-CN"/>
        </w:rPr>
        <w:t>主要</w:t>
      </w:r>
      <w:r>
        <w:rPr>
          <w:rFonts w:hint="eastAsia" w:ascii="仿宋_GB2312" w:hAnsi="仿宋_GB2312" w:eastAsia="仿宋_GB2312" w:cs="仿宋_GB2312"/>
          <w:sz w:val="34"/>
          <w:szCs w:val="34"/>
          <w:highlight w:val="none"/>
        </w:rPr>
        <w:t>依据</w:t>
      </w:r>
      <w:r>
        <w:rPr>
          <w:rFonts w:hint="eastAsia" w:ascii="仿宋_GB2312" w:hAnsi="仿宋_GB2312" w:eastAsia="仿宋_GB2312" w:cs="仿宋_GB2312"/>
          <w:sz w:val="34"/>
          <w:szCs w:val="34"/>
          <w:highlight w:val="none"/>
          <w:lang w:eastAsia="zh-CN"/>
        </w:rPr>
        <w:t>：</w:t>
      </w:r>
    </w:p>
    <w:p w14:paraId="30DF9032">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rPr>
      </w:pPr>
      <w:r>
        <w:rPr>
          <w:rFonts w:hint="eastAsia" w:ascii="仿宋_GB2312" w:hAnsi="仿宋_GB2312" w:eastAsia="仿宋_GB2312" w:cs="仿宋_GB2312"/>
          <w:sz w:val="34"/>
          <w:szCs w:val="34"/>
          <w:highlight w:val="none"/>
        </w:rPr>
        <w:t>《中华人民共和国草原法》</w:t>
      </w:r>
    </w:p>
    <w:p w14:paraId="0F9CADD8">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rPr>
      </w:pPr>
      <w:r>
        <w:rPr>
          <w:rFonts w:hint="eastAsia" w:ascii="仿宋_GB2312" w:hAnsi="仿宋_GB2312" w:eastAsia="仿宋_GB2312" w:cs="仿宋_GB2312"/>
          <w:sz w:val="34"/>
          <w:szCs w:val="34"/>
          <w:highlight w:val="none"/>
        </w:rPr>
        <w:t>《甘草和麻黄草采集管理办法》</w:t>
      </w:r>
    </w:p>
    <w:p w14:paraId="1D43EBEB">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highlight w:val="none"/>
        </w:rPr>
      </w:pPr>
      <w:r>
        <w:rPr>
          <w:rFonts w:hint="eastAsia" w:ascii="仿宋_GB2312" w:hAnsi="仿宋_GB2312" w:eastAsia="仿宋_GB2312" w:cs="仿宋_GB2312"/>
          <w:sz w:val="34"/>
          <w:szCs w:val="34"/>
          <w:highlight w:val="none"/>
        </w:rPr>
        <w:t>《中华人民共和国禁毒法》等上位法律、规章予以处置。不得以未完成本规划内部报备作为直接行政处罚依据。</w:t>
      </w:r>
    </w:p>
    <w:p w14:paraId="6C2063D4">
      <w:pPr>
        <w:keepNext w:val="0"/>
        <w:keepLines w:val="0"/>
        <w:pageBreakBefore w:val="0"/>
        <w:widowControl w:val="0"/>
        <w:kinsoku/>
        <w:wordWrap/>
        <w:overflowPunct/>
        <w:topLinePunct w:val="0"/>
        <w:autoSpaceDE/>
        <w:autoSpaceDN/>
        <w:bidi w:val="0"/>
        <w:adjustRightInd/>
        <w:snapToGrid/>
        <w:spacing w:line="57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3.本规划自印发之日起实施，由彰武县林业和草原局会同县公安局等相关部门负责解释。</w:t>
      </w:r>
    </w:p>
    <w:p w14:paraId="01510B3D">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附件1：彰武县甘草、麻黄草产业发展工作专班；</w:t>
      </w:r>
    </w:p>
    <w:p w14:paraId="180868A7">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default"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附件</w:t>
      </w:r>
      <w:r>
        <w:rPr>
          <w:rFonts w:hint="default" w:ascii="仿宋_GB2312" w:hAnsi="仿宋_GB2312" w:eastAsia="仿宋_GB2312" w:cs="仿宋_GB2312"/>
          <w:sz w:val="34"/>
          <w:szCs w:val="34"/>
          <w:lang w:val="en-US" w:eastAsia="zh-CN"/>
        </w:rPr>
        <w:t>2</w:t>
      </w:r>
      <w:r>
        <w:rPr>
          <w:rFonts w:hint="eastAsia" w:ascii="仿宋_GB2312" w:hAnsi="仿宋_GB2312" w:eastAsia="仿宋_GB2312" w:cs="仿宋_GB2312"/>
          <w:sz w:val="34"/>
          <w:szCs w:val="34"/>
          <w:lang w:val="en-US" w:eastAsia="zh-CN"/>
        </w:rPr>
        <w:t>：甘草、麻黄草任务分解表。</w:t>
      </w:r>
    </w:p>
    <w:p w14:paraId="3B71D045">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0EF894F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0AEFD4CC">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41511C01">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6A80F4C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1F4F277A">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5412559B">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28BD71E1">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r>
        <w:rPr>
          <w:rFonts w:hint="eastAsia" w:ascii="宋体" w:hAnsi="宋体" w:eastAsia="宋体" w:cs="宋体"/>
          <w:b/>
          <w:bCs/>
          <w:sz w:val="34"/>
          <w:szCs w:val="34"/>
          <w:lang w:val="en-US" w:eastAsia="zh-CN"/>
        </w:rPr>
        <w:t>附件1：</w:t>
      </w:r>
    </w:p>
    <w:p w14:paraId="3717E49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sz w:val="34"/>
          <w:szCs w:val="34"/>
          <w:lang w:val="en-US" w:eastAsia="zh-CN"/>
        </w:rPr>
      </w:pPr>
    </w:p>
    <w:p w14:paraId="7C2868C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彰武县</w:t>
      </w:r>
      <w:r>
        <w:rPr>
          <w:rFonts w:hint="eastAsia" w:ascii="宋体" w:hAnsi="宋体" w:eastAsia="宋体" w:cs="宋体"/>
          <w:b/>
          <w:bCs/>
          <w:sz w:val="44"/>
          <w:szCs w:val="44"/>
          <w:lang w:val="en-US" w:eastAsia="zh-CN"/>
        </w:rPr>
        <w:t>甘草、</w:t>
      </w:r>
      <w:r>
        <w:rPr>
          <w:rFonts w:hint="eastAsia" w:ascii="宋体" w:hAnsi="宋体" w:eastAsia="宋体" w:cs="宋体"/>
          <w:b/>
          <w:bCs/>
          <w:sz w:val="44"/>
          <w:szCs w:val="44"/>
        </w:rPr>
        <w:t>麻黄草</w:t>
      </w:r>
      <w:r>
        <w:rPr>
          <w:rFonts w:hint="eastAsia" w:ascii="宋体" w:hAnsi="宋体" w:eastAsia="宋体" w:cs="宋体"/>
          <w:b/>
          <w:bCs/>
          <w:sz w:val="44"/>
          <w:szCs w:val="44"/>
          <w:lang w:val="en-US" w:eastAsia="zh-CN"/>
        </w:rPr>
        <w:t>人工种植产业发展</w:t>
      </w:r>
      <w:r>
        <w:rPr>
          <w:rFonts w:hint="eastAsia" w:ascii="宋体" w:hAnsi="宋体" w:eastAsia="宋体" w:cs="宋体"/>
          <w:b/>
          <w:bCs/>
          <w:sz w:val="44"/>
          <w:szCs w:val="44"/>
        </w:rPr>
        <w:t>工作专班</w:t>
      </w:r>
    </w:p>
    <w:p w14:paraId="47859F6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p>
    <w:p w14:paraId="2BB66405">
      <w:pPr>
        <w:keepNext w:val="0"/>
        <w:keepLines w:val="0"/>
        <w:pageBreakBefore w:val="0"/>
        <w:widowControl w:val="0"/>
        <w:kinsoku/>
        <w:wordWrap/>
        <w:overflowPunct/>
        <w:topLinePunct w:val="0"/>
        <w:autoSpaceDE/>
        <w:autoSpaceDN/>
        <w:bidi w:val="0"/>
        <w:adjustRightInd/>
        <w:snapToGrid/>
        <w:spacing w:line="51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为统筹推进《彰武县</w:t>
      </w:r>
      <w:r>
        <w:rPr>
          <w:rFonts w:hint="eastAsia" w:ascii="仿宋_GB2312" w:hAnsi="仿宋_GB2312" w:eastAsia="仿宋_GB2312" w:cs="仿宋_GB2312"/>
          <w:sz w:val="34"/>
          <w:szCs w:val="34"/>
          <w:lang w:val="en-US" w:eastAsia="zh-CN"/>
        </w:rPr>
        <w:t>甘草、</w:t>
      </w:r>
      <w:r>
        <w:rPr>
          <w:rFonts w:hint="eastAsia" w:ascii="仿宋_GB2312" w:hAnsi="仿宋_GB2312" w:eastAsia="仿宋_GB2312" w:cs="仿宋_GB2312"/>
          <w:sz w:val="34"/>
          <w:szCs w:val="34"/>
        </w:rPr>
        <w:t>麻黄草</w:t>
      </w:r>
      <w:r>
        <w:rPr>
          <w:rFonts w:hint="eastAsia" w:ascii="仿宋_GB2312" w:hAnsi="仿宋_GB2312" w:eastAsia="仿宋_GB2312" w:cs="仿宋_GB2312"/>
          <w:sz w:val="34"/>
          <w:szCs w:val="34"/>
          <w:lang w:val="en-US" w:eastAsia="zh-CN"/>
        </w:rPr>
        <w:t>人工种植发展规划</w:t>
      </w:r>
      <w:r>
        <w:rPr>
          <w:rFonts w:hint="eastAsia" w:ascii="仿宋_GB2312" w:hAnsi="仿宋_GB2312" w:eastAsia="仿宋_GB2312" w:cs="仿宋_GB2312"/>
          <w:sz w:val="34"/>
          <w:szCs w:val="34"/>
        </w:rPr>
        <w:t>（2026</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2028年）落地实施，强化甘草、麻黄草人工种植全链条监管，防范麻黄草涉毒风险，协调解决项目推进、备案审核、巡查执法、风险处置等重点工作，成立彰武县甘草、麻黄草产业发展工作专班。</w:t>
      </w:r>
    </w:p>
    <w:p w14:paraId="71466632">
      <w:pPr>
        <w:keepNext w:val="0"/>
        <w:keepLines w:val="0"/>
        <w:pageBreakBefore w:val="0"/>
        <w:widowControl w:val="0"/>
        <w:kinsoku/>
        <w:wordWrap/>
        <w:overflowPunct/>
        <w:topLinePunct w:val="0"/>
        <w:autoSpaceDE/>
        <w:autoSpaceDN/>
        <w:bidi w:val="0"/>
        <w:adjustRightInd/>
        <w:snapToGrid/>
        <w:spacing w:line="510" w:lineRule="exact"/>
        <w:ind w:firstLine="680" w:firstLineChars="200"/>
        <w:textAlignment w:val="auto"/>
        <w:rPr>
          <w:rFonts w:hint="default" w:ascii="仿宋_GB2312" w:hAnsi="宋体" w:eastAsia="仿宋_GB2312" w:cs="仿宋_GB2312"/>
          <w:color w:val="000000"/>
          <w:kern w:val="0"/>
          <w:sz w:val="34"/>
          <w:szCs w:val="34"/>
          <w:lang w:val="en-US" w:eastAsia="zh-CN" w:bidi="ar"/>
        </w:rPr>
      </w:pPr>
      <w:r>
        <w:rPr>
          <w:rFonts w:hint="eastAsia" w:ascii="仿宋_GB2312" w:hAnsi="仿宋_GB2312" w:eastAsia="仿宋_GB2312" w:cs="仿宋_GB2312"/>
          <w:sz w:val="34"/>
          <w:szCs w:val="34"/>
          <w:lang w:val="en-US" w:eastAsia="zh-CN"/>
        </w:rPr>
        <w:t>班长由县政府主要领导兼任，副班长由彰武草原生态恢复示范区管委会主任和分管副主任、县政府常务副县长和分管副县长兼任，成员由相关部门和乡镇主要负责人兼任。</w:t>
      </w:r>
      <w:r>
        <w:rPr>
          <w:rFonts w:hint="eastAsia" w:ascii="仿宋_GB2312" w:hAnsi="宋体" w:eastAsia="仿宋_GB2312" w:cs="仿宋_GB2312"/>
          <w:color w:val="000000"/>
          <w:kern w:val="0"/>
          <w:sz w:val="34"/>
          <w:szCs w:val="34"/>
          <w:lang w:val="en-US" w:eastAsia="zh-CN" w:bidi="ar"/>
        </w:rPr>
        <w:t xml:space="preserve">      </w:t>
      </w:r>
    </w:p>
    <w:p w14:paraId="70E78E4B">
      <w:pPr>
        <w:keepNext w:val="0"/>
        <w:keepLines w:val="0"/>
        <w:pageBreakBefore w:val="0"/>
        <w:widowControl w:val="0"/>
        <w:kinsoku/>
        <w:wordWrap/>
        <w:overflowPunct/>
        <w:topLinePunct w:val="0"/>
        <w:autoSpaceDE/>
        <w:autoSpaceDN/>
        <w:bidi w:val="0"/>
        <w:adjustRightInd/>
        <w:snapToGrid/>
        <w:spacing w:line="510" w:lineRule="exact"/>
        <w:ind w:firstLine="680" w:firstLineChars="200"/>
        <w:jc w:val="both"/>
        <w:textAlignment w:val="auto"/>
        <w:rPr>
          <w:rFonts w:hint="eastAsia" w:ascii="黑体" w:hAnsi="黑体" w:eastAsia="黑体" w:cs="黑体"/>
          <w:sz w:val="34"/>
          <w:szCs w:val="34"/>
          <w:lang w:val="en-US" w:eastAsia="zh-CN"/>
        </w:rPr>
      </w:pPr>
      <w:r>
        <w:rPr>
          <w:rFonts w:hint="eastAsia" w:ascii="黑体" w:hAnsi="黑体" w:eastAsia="黑体" w:cs="黑体"/>
          <w:sz w:val="34"/>
          <w:szCs w:val="34"/>
          <w:lang w:val="en-US" w:eastAsia="zh-CN"/>
        </w:rPr>
        <w:t>专班主要职责</w:t>
      </w:r>
    </w:p>
    <w:p w14:paraId="5BFC8010">
      <w:pPr>
        <w:keepNext w:val="0"/>
        <w:keepLines w:val="0"/>
        <w:pageBreakBefore w:val="0"/>
        <w:widowControl w:val="0"/>
        <w:kinsoku/>
        <w:wordWrap/>
        <w:overflowPunct/>
        <w:topLinePunct w:val="0"/>
        <w:autoSpaceDE/>
        <w:autoSpaceDN/>
        <w:bidi w:val="0"/>
        <w:adjustRightInd/>
        <w:snapToGrid/>
        <w:spacing w:line="51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1.</w:t>
      </w:r>
      <w:r>
        <w:rPr>
          <w:rFonts w:hint="eastAsia" w:ascii="仿宋_GB2312" w:hAnsi="仿宋_GB2312" w:eastAsia="仿宋_GB2312" w:cs="仿宋_GB2312"/>
          <w:sz w:val="34"/>
          <w:szCs w:val="34"/>
        </w:rPr>
        <w:t>统筹落实</w:t>
      </w:r>
      <w:r>
        <w:rPr>
          <w:rFonts w:hint="eastAsia" w:ascii="仿宋_GB2312" w:hAnsi="仿宋_GB2312" w:eastAsia="仿宋_GB2312" w:cs="仿宋_GB2312"/>
          <w:sz w:val="34"/>
          <w:szCs w:val="34"/>
          <w:lang w:val="en-US" w:eastAsia="zh-CN"/>
        </w:rPr>
        <w:t>发展</w:t>
      </w:r>
      <w:r>
        <w:rPr>
          <w:rFonts w:hint="eastAsia" w:ascii="仿宋_GB2312" w:hAnsi="仿宋_GB2312" w:eastAsia="仿宋_GB2312" w:cs="仿宋_GB2312"/>
          <w:sz w:val="34"/>
          <w:szCs w:val="34"/>
        </w:rPr>
        <w:t>规划确定的</w:t>
      </w:r>
      <w:r>
        <w:rPr>
          <w:rFonts w:hint="eastAsia" w:ascii="仿宋_GB2312" w:hAnsi="仿宋_GB2312" w:eastAsia="仿宋_GB2312" w:cs="仿宋_GB2312"/>
          <w:sz w:val="34"/>
          <w:szCs w:val="34"/>
          <w:lang w:val="en-US" w:eastAsia="zh-CN"/>
        </w:rPr>
        <w:t>5000</w:t>
      </w:r>
      <w:r>
        <w:rPr>
          <w:rFonts w:hint="eastAsia" w:ascii="仿宋_GB2312" w:hAnsi="仿宋_GB2312" w:eastAsia="仿宋_GB2312" w:cs="仿宋_GB2312"/>
          <w:sz w:val="34"/>
          <w:szCs w:val="34"/>
        </w:rPr>
        <w:t>亩甘草、麻黄草人工种植任务，研究解决产业发展、项目落地过程中的重大问题。</w:t>
      </w:r>
    </w:p>
    <w:p w14:paraId="2A0D5D49">
      <w:pPr>
        <w:keepNext w:val="0"/>
        <w:keepLines w:val="0"/>
        <w:pageBreakBefore w:val="0"/>
        <w:widowControl w:val="0"/>
        <w:kinsoku/>
        <w:wordWrap/>
        <w:overflowPunct/>
        <w:topLinePunct w:val="0"/>
        <w:autoSpaceDE/>
        <w:autoSpaceDN/>
        <w:bidi w:val="0"/>
        <w:adjustRightInd/>
        <w:snapToGrid/>
        <w:spacing w:line="51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2.</w:t>
      </w:r>
      <w:r>
        <w:rPr>
          <w:rFonts w:hint="eastAsia" w:ascii="仿宋_GB2312" w:hAnsi="仿宋_GB2312" w:eastAsia="仿宋_GB2312" w:cs="仿宋_GB2312"/>
          <w:sz w:val="34"/>
          <w:szCs w:val="34"/>
        </w:rPr>
        <w:t>统筹甘草、麻黄草种植备案审核、种子种苗监管、采收报备、仓储运输销售全链条监管，压实各环节监管责任。</w:t>
      </w:r>
    </w:p>
    <w:p w14:paraId="179DA299">
      <w:pPr>
        <w:keepNext w:val="0"/>
        <w:keepLines w:val="0"/>
        <w:pageBreakBefore w:val="0"/>
        <w:widowControl w:val="0"/>
        <w:kinsoku/>
        <w:wordWrap/>
        <w:overflowPunct/>
        <w:topLinePunct w:val="0"/>
        <w:autoSpaceDE/>
        <w:autoSpaceDN/>
        <w:bidi w:val="0"/>
        <w:adjustRightInd/>
        <w:snapToGrid/>
        <w:spacing w:line="51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3.</w:t>
      </w:r>
      <w:r>
        <w:rPr>
          <w:rFonts w:hint="eastAsia" w:ascii="仿宋_GB2312" w:hAnsi="仿宋_GB2312" w:eastAsia="仿宋_GB2312" w:cs="仿宋_GB2312"/>
          <w:sz w:val="34"/>
          <w:szCs w:val="34"/>
        </w:rPr>
        <w:t>常态化开展风险研判，重点做好麻黄草涉毒风险防控，及时处置各类风险隐患。</w:t>
      </w:r>
    </w:p>
    <w:p w14:paraId="01BD3949">
      <w:pPr>
        <w:keepNext w:val="0"/>
        <w:keepLines w:val="0"/>
        <w:pageBreakBefore w:val="0"/>
        <w:widowControl w:val="0"/>
        <w:kinsoku/>
        <w:wordWrap/>
        <w:overflowPunct/>
        <w:topLinePunct w:val="0"/>
        <w:autoSpaceDE/>
        <w:autoSpaceDN/>
        <w:bidi w:val="0"/>
        <w:adjustRightInd/>
        <w:snapToGrid/>
        <w:spacing w:line="51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4.</w:t>
      </w:r>
      <w:r>
        <w:rPr>
          <w:rFonts w:hint="eastAsia" w:ascii="仿宋_GB2312" w:hAnsi="仿宋_GB2312" w:eastAsia="仿宋_GB2312" w:cs="仿宋_GB2312"/>
          <w:sz w:val="34"/>
          <w:szCs w:val="34"/>
        </w:rPr>
        <w:t>调度推进联农带农、技术培训、示范基地建设，开展规划中期调度。</w:t>
      </w:r>
    </w:p>
    <w:p w14:paraId="2F1890F2">
      <w:pPr>
        <w:keepNext w:val="0"/>
        <w:keepLines w:val="0"/>
        <w:pageBreakBefore w:val="0"/>
        <w:widowControl w:val="0"/>
        <w:kinsoku/>
        <w:wordWrap/>
        <w:overflowPunct/>
        <w:topLinePunct w:val="0"/>
        <w:autoSpaceDE/>
        <w:autoSpaceDN/>
        <w:bidi w:val="0"/>
        <w:adjustRightInd/>
        <w:snapToGrid/>
        <w:spacing w:line="51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5.</w:t>
      </w:r>
      <w:r>
        <w:rPr>
          <w:rFonts w:hint="eastAsia" w:ascii="仿宋_GB2312" w:hAnsi="仿宋_GB2312" w:eastAsia="仿宋_GB2312" w:cs="仿宋_GB2312"/>
          <w:sz w:val="34"/>
          <w:szCs w:val="34"/>
        </w:rPr>
        <w:t>定期召开专班工作会议，落实林长制、禁种铲毒相关考核要求，做好信息汇总、资料归档。</w:t>
      </w:r>
    </w:p>
    <w:p w14:paraId="1083E6E1">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56D4B6F6">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3E596DFF">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p>
    <w:p w14:paraId="05787178">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宋体" w:hAnsi="宋体" w:eastAsia="宋体" w:cs="宋体"/>
          <w:b/>
          <w:bCs/>
          <w:sz w:val="34"/>
          <w:szCs w:val="34"/>
          <w:lang w:val="en-US" w:eastAsia="zh-CN"/>
        </w:rPr>
      </w:pPr>
      <w:r>
        <w:rPr>
          <w:rFonts w:hint="eastAsia" w:ascii="宋体" w:hAnsi="宋体" w:eastAsia="宋体" w:cs="宋体"/>
          <w:b/>
          <w:bCs/>
          <w:sz w:val="34"/>
          <w:szCs w:val="34"/>
          <w:lang w:val="en-US" w:eastAsia="zh-CN"/>
        </w:rPr>
        <w:t>附件2</w:t>
      </w:r>
      <w:bookmarkStart w:id="0" w:name="_GoBack"/>
      <w:bookmarkEnd w:id="0"/>
      <w:r>
        <w:rPr>
          <w:rFonts w:hint="eastAsia" w:ascii="宋体" w:hAnsi="宋体" w:eastAsia="宋体" w:cs="宋体"/>
          <w:b/>
          <w:bCs/>
          <w:sz w:val="34"/>
          <w:szCs w:val="34"/>
          <w:lang w:val="en-US" w:eastAsia="zh-CN"/>
        </w:rPr>
        <w:t>：</w:t>
      </w:r>
    </w:p>
    <w:tbl>
      <w:tblPr>
        <w:tblStyle w:val="6"/>
        <w:tblW w:w="9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6"/>
        <w:gridCol w:w="1036"/>
        <w:gridCol w:w="4509"/>
        <w:gridCol w:w="1296"/>
        <w:gridCol w:w="1383"/>
      </w:tblGrid>
      <w:tr w14:paraId="4B2E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260" w:type="dxa"/>
            <w:gridSpan w:val="5"/>
            <w:tcBorders>
              <w:top w:val="nil"/>
              <w:left w:val="nil"/>
              <w:bottom w:val="nil"/>
              <w:right w:val="nil"/>
            </w:tcBorders>
            <w:shd w:val="clear" w:color="auto" w:fill="auto"/>
            <w:noWrap/>
            <w:vAlign w:val="center"/>
          </w:tcPr>
          <w:p w14:paraId="292E34A9">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甘草、麻黄草任务分劈表</w:t>
            </w:r>
          </w:p>
        </w:tc>
      </w:tr>
      <w:tr w14:paraId="2F4B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nil"/>
              <w:left w:val="nil"/>
              <w:bottom w:val="nil"/>
              <w:right w:val="nil"/>
            </w:tcBorders>
            <w:shd w:val="clear" w:color="auto" w:fill="auto"/>
            <w:noWrap/>
            <w:vAlign w:val="center"/>
          </w:tcPr>
          <w:p w14:paraId="52AA606C">
            <w:pPr>
              <w:rPr>
                <w:rFonts w:hint="eastAsia" w:ascii="仿宋_GB2312" w:hAnsi="宋体" w:eastAsia="仿宋_GB2312" w:cs="仿宋_GB2312"/>
                <w:b/>
                <w:bCs/>
                <w:i w:val="0"/>
                <w:iCs w:val="0"/>
                <w:color w:val="000000"/>
                <w:sz w:val="31"/>
                <w:szCs w:val="31"/>
                <w:u w:val="none"/>
              </w:rPr>
            </w:pPr>
          </w:p>
        </w:tc>
        <w:tc>
          <w:tcPr>
            <w:tcW w:w="1036" w:type="dxa"/>
            <w:tcBorders>
              <w:top w:val="nil"/>
              <w:left w:val="nil"/>
              <w:bottom w:val="nil"/>
              <w:right w:val="nil"/>
            </w:tcBorders>
            <w:shd w:val="clear" w:color="auto" w:fill="auto"/>
            <w:noWrap/>
            <w:vAlign w:val="center"/>
          </w:tcPr>
          <w:p w14:paraId="6F39CCA2">
            <w:pPr>
              <w:rPr>
                <w:rFonts w:hint="eastAsia" w:ascii="宋体" w:hAnsi="宋体" w:eastAsia="宋体" w:cs="宋体"/>
                <w:i w:val="0"/>
                <w:iCs w:val="0"/>
                <w:color w:val="000000"/>
                <w:sz w:val="22"/>
                <w:szCs w:val="22"/>
                <w:u w:val="none"/>
              </w:rPr>
            </w:pPr>
          </w:p>
        </w:tc>
        <w:tc>
          <w:tcPr>
            <w:tcW w:w="4509" w:type="dxa"/>
            <w:tcBorders>
              <w:top w:val="nil"/>
              <w:left w:val="nil"/>
              <w:bottom w:val="nil"/>
              <w:right w:val="nil"/>
            </w:tcBorders>
            <w:shd w:val="clear" w:color="auto" w:fill="auto"/>
            <w:noWrap/>
            <w:vAlign w:val="center"/>
          </w:tcPr>
          <w:p w14:paraId="1D8F1874">
            <w:pPr>
              <w:rPr>
                <w:rFonts w:hint="eastAsia" w:ascii="宋体" w:hAnsi="宋体" w:eastAsia="宋体" w:cs="宋体"/>
                <w:i w:val="0"/>
                <w:iCs w:val="0"/>
                <w:color w:val="000000"/>
                <w:sz w:val="22"/>
                <w:szCs w:val="22"/>
                <w:u w:val="none"/>
              </w:rPr>
            </w:pPr>
          </w:p>
        </w:tc>
        <w:tc>
          <w:tcPr>
            <w:tcW w:w="1296" w:type="dxa"/>
            <w:tcBorders>
              <w:top w:val="nil"/>
              <w:left w:val="nil"/>
              <w:bottom w:val="nil"/>
              <w:right w:val="nil"/>
            </w:tcBorders>
            <w:shd w:val="clear" w:color="auto" w:fill="auto"/>
            <w:noWrap/>
            <w:vAlign w:val="center"/>
          </w:tcPr>
          <w:p w14:paraId="33B139D4">
            <w:pPr>
              <w:rPr>
                <w:rFonts w:hint="eastAsia" w:ascii="宋体" w:hAnsi="宋体" w:eastAsia="宋体" w:cs="宋体"/>
                <w:i w:val="0"/>
                <w:iCs w:val="0"/>
                <w:color w:val="000000"/>
                <w:sz w:val="22"/>
                <w:szCs w:val="22"/>
                <w:u w:val="none"/>
              </w:rPr>
            </w:pPr>
          </w:p>
        </w:tc>
        <w:tc>
          <w:tcPr>
            <w:tcW w:w="1383" w:type="dxa"/>
            <w:tcBorders>
              <w:top w:val="nil"/>
              <w:left w:val="nil"/>
              <w:bottom w:val="nil"/>
              <w:right w:val="nil"/>
            </w:tcBorders>
            <w:shd w:val="clear" w:color="auto" w:fill="auto"/>
            <w:noWrap/>
            <w:vAlign w:val="center"/>
          </w:tcPr>
          <w:p w14:paraId="2BC702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单位亩</w:t>
            </w:r>
          </w:p>
        </w:tc>
      </w:tr>
      <w:tr w14:paraId="6E0BB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62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F5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w:t>
            </w: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260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实施主体</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5E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面积</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7D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2C902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4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81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w:t>
            </w: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A1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草原生态恢复示范区管委会</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FF93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C6738">
            <w:pPr>
              <w:jc w:val="center"/>
              <w:rPr>
                <w:rFonts w:hint="eastAsia" w:ascii="宋体" w:hAnsi="宋体" w:eastAsia="宋体" w:cs="宋体"/>
                <w:i w:val="0"/>
                <w:iCs w:val="0"/>
                <w:color w:val="000000"/>
                <w:sz w:val="22"/>
                <w:szCs w:val="22"/>
                <w:u w:val="none"/>
              </w:rPr>
            </w:pPr>
          </w:p>
        </w:tc>
      </w:tr>
      <w:tr w14:paraId="3D777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B2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1E05">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09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阿尔乡镇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67EB">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C466">
            <w:pPr>
              <w:jc w:val="center"/>
              <w:rPr>
                <w:rFonts w:hint="eastAsia" w:ascii="宋体" w:hAnsi="宋体" w:eastAsia="宋体" w:cs="宋体"/>
                <w:i w:val="0"/>
                <w:iCs w:val="0"/>
                <w:color w:val="000000"/>
                <w:sz w:val="22"/>
                <w:szCs w:val="22"/>
                <w:u w:val="none"/>
              </w:rPr>
            </w:pPr>
          </w:p>
        </w:tc>
      </w:tr>
      <w:tr w14:paraId="4A353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56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9287">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35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章古台镇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F390">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72409">
            <w:pPr>
              <w:jc w:val="center"/>
              <w:rPr>
                <w:rFonts w:hint="eastAsia" w:ascii="宋体" w:hAnsi="宋体" w:eastAsia="宋体" w:cs="宋体"/>
                <w:i w:val="0"/>
                <w:iCs w:val="0"/>
                <w:color w:val="000000"/>
                <w:sz w:val="22"/>
                <w:szCs w:val="22"/>
                <w:u w:val="none"/>
              </w:rPr>
            </w:pPr>
          </w:p>
        </w:tc>
      </w:tr>
      <w:tr w14:paraId="41323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D7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2FF6">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B97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四合城镇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101C2">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DB3A">
            <w:pPr>
              <w:jc w:val="center"/>
              <w:rPr>
                <w:rFonts w:hint="eastAsia" w:ascii="宋体" w:hAnsi="宋体" w:eastAsia="宋体" w:cs="宋体"/>
                <w:i w:val="0"/>
                <w:iCs w:val="0"/>
                <w:color w:val="000000"/>
                <w:sz w:val="22"/>
                <w:szCs w:val="22"/>
                <w:u w:val="none"/>
              </w:rPr>
            </w:pPr>
          </w:p>
        </w:tc>
      </w:tr>
      <w:tr w14:paraId="5D7B2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CF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BA6F2">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F8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后新秋镇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DFFEE">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4213">
            <w:pPr>
              <w:jc w:val="center"/>
              <w:rPr>
                <w:rFonts w:hint="eastAsia" w:ascii="宋体" w:hAnsi="宋体" w:eastAsia="宋体" w:cs="宋体"/>
                <w:i w:val="0"/>
                <w:iCs w:val="0"/>
                <w:color w:val="000000"/>
                <w:sz w:val="22"/>
                <w:szCs w:val="22"/>
                <w:u w:val="none"/>
              </w:rPr>
            </w:pPr>
          </w:p>
        </w:tc>
      </w:tr>
      <w:tr w14:paraId="780B7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BD1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31D5B">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8C7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大德镇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E7E6">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B3DA">
            <w:pPr>
              <w:jc w:val="center"/>
              <w:rPr>
                <w:rFonts w:hint="eastAsia" w:ascii="宋体" w:hAnsi="宋体" w:eastAsia="宋体" w:cs="宋体"/>
                <w:i w:val="0"/>
                <w:iCs w:val="0"/>
                <w:color w:val="000000"/>
                <w:sz w:val="22"/>
                <w:szCs w:val="22"/>
                <w:u w:val="none"/>
              </w:rPr>
            </w:pPr>
          </w:p>
        </w:tc>
      </w:tr>
      <w:tr w14:paraId="1E2BB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8B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778C8">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CA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大冷镇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5BD9">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7AE2">
            <w:pPr>
              <w:jc w:val="center"/>
              <w:rPr>
                <w:rFonts w:hint="eastAsia" w:ascii="宋体" w:hAnsi="宋体" w:eastAsia="宋体" w:cs="宋体"/>
                <w:i w:val="0"/>
                <w:iCs w:val="0"/>
                <w:color w:val="000000"/>
                <w:sz w:val="22"/>
                <w:szCs w:val="22"/>
                <w:u w:val="none"/>
              </w:rPr>
            </w:pPr>
          </w:p>
        </w:tc>
      </w:tr>
      <w:tr w14:paraId="20908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B9A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808C">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7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西六家子镇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D5050">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41C0D">
            <w:pPr>
              <w:jc w:val="center"/>
              <w:rPr>
                <w:rFonts w:hint="eastAsia" w:ascii="宋体" w:hAnsi="宋体" w:eastAsia="宋体" w:cs="宋体"/>
                <w:i w:val="0"/>
                <w:iCs w:val="0"/>
                <w:color w:val="000000"/>
                <w:sz w:val="22"/>
                <w:szCs w:val="22"/>
                <w:u w:val="none"/>
              </w:rPr>
            </w:pPr>
          </w:p>
        </w:tc>
      </w:tr>
      <w:tr w14:paraId="4D237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C1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2357">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CD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五峰镇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EA85">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993B">
            <w:pPr>
              <w:jc w:val="center"/>
              <w:rPr>
                <w:rFonts w:hint="eastAsia" w:ascii="宋体" w:hAnsi="宋体" w:eastAsia="宋体" w:cs="宋体"/>
                <w:i w:val="0"/>
                <w:iCs w:val="0"/>
                <w:color w:val="000000"/>
                <w:sz w:val="22"/>
                <w:szCs w:val="22"/>
                <w:u w:val="none"/>
              </w:rPr>
            </w:pPr>
          </w:p>
        </w:tc>
      </w:tr>
      <w:tr w14:paraId="1CA62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0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1013">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6AF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两家子镇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C6C7">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FA326">
            <w:pPr>
              <w:jc w:val="center"/>
              <w:rPr>
                <w:rFonts w:hint="eastAsia" w:ascii="宋体" w:hAnsi="宋体" w:eastAsia="宋体" w:cs="宋体"/>
                <w:i w:val="0"/>
                <w:iCs w:val="0"/>
                <w:color w:val="000000"/>
                <w:sz w:val="22"/>
                <w:szCs w:val="22"/>
                <w:u w:val="none"/>
              </w:rPr>
            </w:pPr>
          </w:p>
        </w:tc>
      </w:tr>
      <w:tr w14:paraId="19756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8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990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B22F">
            <w:pPr>
              <w:jc w:val="center"/>
              <w:rPr>
                <w:rFonts w:hint="eastAsia" w:ascii="宋体" w:hAnsi="宋体" w:eastAsia="宋体" w:cs="宋体"/>
                <w:i w:val="0"/>
                <w:iCs w:val="0"/>
                <w:color w:val="000000"/>
                <w:sz w:val="22"/>
                <w:szCs w:val="22"/>
                <w:u w:val="none"/>
              </w:rPr>
            </w:pPr>
          </w:p>
        </w:tc>
      </w:tr>
      <w:tr w14:paraId="4DD02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5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20A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2027</w:t>
            </w: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D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草原生态恢复示范区管委会</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C0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55F7C">
            <w:pPr>
              <w:jc w:val="center"/>
              <w:rPr>
                <w:rFonts w:hint="eastAsia" w:ascii="宋体" w:hAnsi="宋体" w:eastAsia="宋体" w:cs="宋体"/>
                <w:i w:val="0"/>
                <w:iCs w:val="0"/>
                <w:color w:val="000000"/>
                <w:sz w:val="22"/>
                <w:szCs w:val="22"/>
                <w:u w:val="none"/>
              </w:rPr>
            </w:pPr>
          </w:p>
        </w:tc>
      </w:tr>
      <w:tr w14:paraId="5837B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8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B5C8E">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5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阿尔乡镇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A5876">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4EDD6">
            <w:pPr>
              <w:jc w:val="center"/>
              <w:rPr>
                <w:rFonts w:hint="eastAsia" w:ascii="宋体" w:hAnsi="宋体" w:eastAsia="宋体" w:cs="宋体"/>
                <w:i w:val="0"/>
                <w:iCs w:val="0"/>
                <w:color w:val="000000"/>
                <w:sz w:val="22"/>
                <w:szCs w:val="22"/>
                <w:u w:val="none"/>
              </w:rPr>
            </w:pPr>
          </w:p>
        </w:tc>
      </w:tr>
      <w:tr w14:paraId="49DFA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D9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C57B1">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1C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章古台镇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3656">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C7F6D">
            <w:pPr>
              <w:jc w:val="center"/>
              <w:rPr>
                <w:rFonts w:hint="eastAsia" w:ascii="宋体" w:hAnsi="宋体" w:eastAsia="宋体" w:cs="宋体"/>
                <w:i w:val="0"/>
                <w:iCs w:val="0"/>
                <w:color w:val="000000"/>
                <w:sz w:val="22"/>
                <w:szCs w:val="22"/>
                <w:u w:val="none"/>
              </w:rPr>
            </w:pPr>
          </w:p>
        </w:tc>
      </w:tr>
      <w:tr w14:paraId="5568B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4A7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FC1C9">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B9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四合城镇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EF0E6">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40A4">
            <w:pPr>
              <w:jc w:val="center"/>
              <w:rPr>
                <w:rFonts w:hint="eastAsia" w:ascii="宋体" w:hAnsi="宋体" w:eastAsia="宋体" w:cs="宋体"/>
                <w:i w:val="0"/>
                <w:iCs w:val="0"/>
                <w:color w:val="000000"/>
                <w:sz w:val="22"/>
                <w:szCs w:val="22"/>
                <w:u w:val="none"/>
              </w:rPr>
            </w:pPr>
          </w:p>
        </w:tc>
      </w:tr>
      <w:tr w14:paraId="271BE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70F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DBEB">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27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后新秋镇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BF532">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7EA4">
            <w:pPr>
              <w:jc w:val="center"/>
              <w:rPr>
                <w:rFonts w:hint="eastAsia" w:ascii="宋体" w:hAnsi="宋体" w:eastAsia="宋体" w:cs="宋体"/>
                <w:i w:val="0"/>
                <w:iCs w:val="0"/>
                <w:color w:val="000000"/>
                <w:sz w:val="22"/>
                <w:szCs w:val="22"/>
                <w:u w:val="none"/>
              </w:rPr>
            </w:pPr>
          </w:p>
        </w:tc>
      </w:tr>
      <w:tr w14:paraId="5116A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8E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099F">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0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大德镇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7263F">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442BA">
            <w:pPr>
              <w:jc w:val="center"/>
              <w:rPr>
                <w:rFonts w:hint="eastAsia" w:ascii="宋体" w:hAnsi="宋体" w:eastAsia="宋体" w:cs="宋体"/>
                <w:i w:val="0"/>
                <w:iCs w:val="0"/>
                <w:color w:val="000000"/>
                <w:sz w:val="22"/>
                <w:szCs w:val="22"/>
                <w:u w:val="none"/>
              </w:rPr>
            </w:pPr>
          </w:p>
        </w:tc>
      </w:tr>
      <w:tr w14:paraId="27D03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A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3777">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C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大冷镇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7C37F">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0ED4">
            <w:pPr>
              <w:jc w:val="center"/>
              <w:rPr>
                <w:rFonts w:hint="eastAsia" w:ascii="宋体" w:hAnsi="宋体" w:eastAsia="宋体" w:cs="宋体"/>
                <w:i w:val="0"/>
                <w:iCs w:val="0"/>
                <w:color w:val="000000"/>
                <w:sz w:val="22"/>
                <w:szCs w:val="22"/>
                <w:u w:val="none"/>
              </w:rPr>
            </w:pPr>
          </w:p>
        </w:tc>
      </w:tr>
      <w:tr w14:paraId="27E3F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7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3D6A4">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8B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西六家子镇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BA89">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CA33">
            <w:pPr>
              <w:jc w:val="center"/>
              <w:rPr>
                <w:rFonts w:hint="eastAsia" w:ascii="宋体" w:hAnsi="宋体" w:eastAsia="宋体" w:cs="宋体"/>
                <w:i w:val="0"/>
                <w:iCs w:val="0"/>
                <w:color w:val="000000"/>
                <w:sz w:val="22"/>
                <w:szCs w:val="22"/>
                <w:u w:val="none"/>
              </w:rPr>
            </w:pPr>
          </w:p>
        </w:tc>
      </w:tr>
      <w:tr w14:paraId="4A055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9B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0DE8">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CE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五峰镇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E4D6">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C2A4E">
            <w:pPr>
              <w:jc w:val="center"/>
              <w:rPr>
                <w:rFonts w:hint="eastAsia" w:ascii="宋体" w:hAnsi="宋体" w:eastAsia="宋体" w:cs="宋体"/>
                <w:i w:val="0"/>
                <w:iCs w:val="0"/>
                <w:color w:val="000000"/>
                <w:sz w:val="22"/>
                <w:szCs w:val="22"/>
                <w:u w:val="none"/>
              </w:rPr>
            </w:pPr>
          </w:p>
        </w:tc>
      </w:tr>
      <w:tr w14:paraId="47424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EC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CC0C">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78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两家子镇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9728">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5030">
            <w:pPr>
              <w:jc w:val="center"/>
              <w:rPr>
                <w:rFonts w:hint="eastAsia" w:ascii="宋体" w:hAnsi="宋体" w:eastAsia="宋体" w:cs="宋体"/>
                <w:i w:val="0"/>
                <w:iCs w:val="0"/>
                <w:color w:val="000000"/>
                <w:sz w:val="22"/>
                <w:szCs w:val="22"/>
                <w:u w:val="none"/>
              </w:rPr>
            </w:pPr>
          </w:p>
        </w:tc>
      </w:tr>
      <w:tr w14:paraId="4A69D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9C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A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889E0">
            <w:pPr>
              <w:jc w:val="center"/>
              <w:rPr>
                <w:rFonts w:hint="eastAsia" w:ascii="宋体" w:hAnsi="宋体" w:eastAsia="宋体" w:cs="宋体"/>
                <w:i w:val="0"/>
                <w:iCs w:val="0"/>
                <w:color w:val="000000"/>
                <w:sz w:val="22"/>
                <w:szCs w:val="22"/>
                <w:u w:val="none"/>
              </w:rPr>
            </w:pPr>
          </w:p>
        </w:tc>
      </w:tr>
      <w:tr w14:paraId="52E2D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6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3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2028</w:t>
            </w: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0DD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草原生态恢复示范区管委会</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D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614C">
            <w:pPr>
              <w:jc w:val="center"/>
              <w:rPr>
                <w:rFonts w:hint="eastAsia" w:ascii="宋体" w:hAnsi="宋体" w:eastAsia="宋体" w:cs="宋体"/>
                <w:i w:val="0"/>
                <w:iCs w:val="0"/>
                <w:color w:val="000000"/>
                <w:sz w:val="22"/>
                <w:szCs w:val="22"/>
                <w:u w:val="none"/>
              </w:rPr>
            </w:pPr>
          </w:p>
        </w:tc>
      </w:tr>
      <w:tr w14:paraId="467D1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D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4C18">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757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阿尔乡镇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63F36">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924ED">
            <w:pPr>
              <w:jc w:val="center"/>
              <w:rPr>
                <w:rFonts w:hint="eastAsia" w:ascii="宋体" w:hAnsi="宋体" w:eastAsia="宋体" w:cs="宋体"/>
                <w:i w:val="0"/>
                <w:iCs w:val="0"/>
                <w:color w:val="000000"/>
                <w:sz w:val="22"/>
                <w:szCs w:val="22"/>
                <w:u w:val="none"/>
              </w:rPr>
            </w:pPr>
          </w:p>
        </w:tc>
      </w:tr>
      <w:tr w14:paraId="4F40C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954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1D5CB">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4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章古台镇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4957">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0521">
            <w:pPr>
              <w:jc w:val="center"/>
              <w:rPr>
                <w:rFonts w:hint="eastAsia" w:ascii="宋体" w:hAnsi="宋体" w:eastAsia="宋体" w:cs="宋体"/>
                <w:i w:val="0"/>
                <w:iCs w:val="0"/>
                <w:color w:val="000000"/>
                <w:sz w:val="22"/>
                <w:szCs w:val="22"/>
                <w:u w:val="none"/>
              </w:rPr>
            </w:pPr>
          </w:p>
        </w:tc>
      </w:tr>
      <w:tr w14:paraId="31A60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CB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3075">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34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四合城镇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166A">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3EF5">
            <w:pPr>
              <w:jc w:val="center"/>
              <w:rPr>
                <w:rFonts w:hint="eastAsia" w:ascii="宋体" w:hAnsi="宋体" w:eastAsia="宋体" w:cs="宋体"/>
                <w:i w:val="0"/>
                <w:iCs w:val="0"/>
                <w:color w:val="000000"/>
                <w:sz w:val="22"/>
                <w:szCs w:val="22"/>
                <w:u w:val="none"/>
              </w:rPr>
            </w:pPr>
          </w:p>
        </w:tc>
      </w:tr>
      <w:tr w14:paraId="7D22D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1F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7D1E">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75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后新秋镇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981A8">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87F1F">
            <w:pPr>
              <w:jc w:val="center"/>
              <w:rPr>
                <w:rFonts w:hint="eastAsia" w:ascii="宋体" w:hAnsi="宋体" w:eastAsia="宋体" w:cs="宋体"/>
                <w:i w:val="0"/>
                <w:iCs w:val="0"/>
                <w:color w:val="000000"/>
                <w:sz w:val="22"/>
                <w:szCs w:val="22"/>
                <w:u w:val="none"/>
              </w:rPr>
            </w:pPr>
          </w:p>
        </w:tc>
      </w:tr>
      <w:tr w14:paraId="50FEC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8E5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ED4B9">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F6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大德镇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8D90">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864F3">
            <w:pPr>
              <w:jc w:val="center"/>
              <w:rPr>
                <w:rFonts w:hint="eastAsia" w:ascii="宋体" w:hAnsi="宋体" w:eastAsia="宋体" w:cs="宋体"/>
                <w:i w:val="0"/>
                <w:iCs w:val="0"/>
                <w:color w:val="000000"/>
                <w:sz w:val="22"/>
                <w:szCs w:val="22"/>
                <w:u w:val="none"/>
              </w:rPr>
            </w:pPr>
          </w:p>
        </w:tc>
      </w:tr>
      <w:tr w14:paraId="25442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40E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6455C">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E0B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大冷镇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1A07">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9F4A2">
            <w:pPr>
              <w:jc w:val="center"/>
              <w:rPr>
                <w:rFonts w:hint="eastAsia" w:ascii="宋体" w:hAnsi="宋体" w:eastAsia="宋体" w:cs="宋体"/>
                <w:i w:val="0"/>
                <w:iCs w:val="0"/>
                <w:color w:val="000000"/>
                <w:sz w:val="22"/>
                <w:szCs w:val="22"/>
                <w:u w:val="none"/>
              </w:rPr>
            </w:pPr>
          </w:p>
        </w:tc>
      </w:tr>
      <w:tr w14:paraId="21F45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D8F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E9B73">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1D4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西六家子镇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7E9E">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8661E">
            <w:pPr>
              <w:jc w:val="center"/>
              <w:rPr>
                <w:rFonts w:hint="eastAsia" w:ascii="宋体" w:hAnsi="宋体" w:eastAsia="宋体" w:cs="宋体"/>
                <w:i w:val="0"/>
                <w:iCs w:val="0"/>
                <w:color w:val="000000"/>
                <w:sz w:val="22"/>
                <w:szCs w:val="22"/>
                <w:u w:val="none"/>
              </w:rPr>
            </w:pPr>
          </w:p>
        </w:tc>
      </w:tr>
      <w:tr w14:paraId="0909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7A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B55A">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D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五峰镇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F5AD">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D06C">
            <w:pPr>
              <w:jc w:val="center"/>
              <w:rPr>
                <w:rFonts w:hint="eastAsia" w:ascii="宋体" w:hAnsi="宋体" w:eastAsia="宋体" w:cs="宋体"/>
                <w:i w:val="0"/>
                <w:iCs w:val="0"/>
                <w:color w:val="000000"/>
                <w:sz w:val="22"/>
                <w:szCs w:val="22"/>
                <w:u w:val="none"/>
              </w:rPr>
            </w:pPr>
          </w:p>
        </w:tc>
      </w:tr>
      <w:tr w14:paraId="4C1FB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50E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6BF8">
            <w:pPr>
              <w:jc w:val="center"/>
              <w:rPr>
                <w:rFonts w:hint="eastAsia" w:ascii="宋体" w:hAnsi="宋体" w:eastAsia="宋体" w:cs="宋体"/>
                <w:i w:val="0"/>
                <w:iCs w:val="0"/>
                <w:color w:val="000000"/>
                <w:sz w:val="22"/>
                <w:szCs w:val="22"/>
                <w:u w:val="none"/>
              </w:rPr>
            </w:pPr>
          </w:p>
        </w:tc>
        <w:tc>
          <w:tcPr>
            <w:tcW w:w="4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6D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两家子镇</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6D0E">
            <w:pPr>
              <w:jc w:val="center"/>
              <w:rPr>
                <w:rFonts w:hint="eastAsia" w:ascii="宋体" w:hAnsi="宋体" w:eastAsia="宋体" w:cs="宋体"/>
                <w:i w:val="0"/>
                <w:iCs w:val="0"/>
                <w:color w:val="000000"/>
                <w:sz w:val="22"/>
                <w:szCs w:val="22"/>
                <w:u w:val="none"/>
              </w:rPr>
            </w:pP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FDA7">
            <w:pPr>
              <w:jc w:val="center"/>
              <w:rPr>
                <w:rFonts w:hint="eastAsia" w:ascii="宋体" w:hAnsi="宋体" w:eastAsia="宋体" w:cs="宋体"/>
                <w:i w:val="0"/>
                <w:iCs w:val="0"/>
                <w:color w:val="000000"/>
                <w:sz w:val="22"/>
                <w:szCs w:val="22"/>
                <w:u w:val="none"/>
              </w:rPr>
            </w:pPr>
          </w:p>
        </w:tc>
      </w:tr>
      <w:tr w14:paraId="1F6EF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57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7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07BC">
            <w:pPr>
              <w:jc w:val="center"/>
              <w:rPr>
                <w:rFonts w:hint="eastAsia" w:ascii="宋体" w:hAnsi="宋体" w:eastAsia="宋体" w:cs="宋体"/>
                <w:i w:val="0"/>
                <w:iCs w:val="0"/>
                <w:color w:val="000000"/>
                <w:sz w:val="22"/>
                <w:szCs w:val="22"/>
                <w:u w:val="none"/>
              </w:rPr>
            </w:pPr>
          </w:p>
        </w:tc>
      </w:tr>
      <w:tr w14:paraId="1C3CB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91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838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2F224">
            <w:pPr>
              <w:jc w:val="center"/>
              <w:rPr>
                <w:rFonts w:hint="eastAsia" w:ascii="宋体" w:hAnsi="宋体" w:eastAsia="宋体" w:cs="宋体"/>
                <w:i w:val="0"/>
                <w:iCs w:val="0"/>
                <w:color w:val="000000"/>
                <w:sz w:val="22"/>
                <w:szCs w:val="22"/>
                <w:u w:val="none"/>
              </w:rPr>
            </w:pPr>
          </w:p>
        </w:tc>
      </w:tr>
    </w:tbl>
    <w:p w14:paraId="7A8CBCB5">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仿宋_GB2312" w:hAnsi="仿宋_GB2312" w:eastAsia="仿宋_GB2312" w:cs="仿宋_GB2312"/>
          <w:sz w:val="34"/>
          <w:szCs w:val="34"/>
          <w:lang w:val="en-US" w:eastAsia="zh-CN"/>
        </w:rPr>
      </w:pPr>
    </w:p>
    <w:sectPr>
      <w:footerReference r:id="rId3" w:type="default"/>
      <w:pgSz w:w="11906" w:h="16838"/>
      <w:pgMar w:top="1417" w:right="1417" w:bottom="1701"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287F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7D01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27D01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3678D"/>
    <w:rsid w:val="04701944"/>
    <w:rsid w:val="04B9408F"/>
    <w:rsid w:val="059A0D6E"/>
    <w:rsid w:val="060E7D09"/>
    <w:rsid w:val="08BD3489"/>
    <w:rsid w:val="08F62423"/>
    <w:rsid w:val="09022B31"/>
    <w:rsid w:val="0AE30943"/>
    <w:rsid w:val="0C4548C9"/>
    <w:rsid w:val="0CFA68BB"/>
    <w:rsid w:val="0E4A2920"/>
    <w:rsid w:val="11373341"/>
    <w:rsid w:val="12FB7214"/>
    <w:rsid w:val="141F28DC"/>
    <w:rsid w:val="16342968"/>
    <w:rsid w:val="1CD01E24"/>
    <w:rsid w:val="1DCB4FB3"/>
    <w:rsid w:val="1F552E57"/>
    <w:rsid w:val="1FFB1AF4"/>
    <w:rsid w:val="203647FC"/>
    <w:rsid w:val="20AF49FD"/>
    <w:rsid w:val="21735157"/>
    <w:rsid w:val="22607345"/>
    <w:rsid w:val="241035B6"/>
    <w:rsid w:val="24C87A71"/>
    <w:rsid w:val="25137802"/>
    <w:rsid w:val="26A46896"/>
    <w:rsid w:val="294B722D"/>
    <w:rsid w:val="2A104310"/>
    <w:rsid w:val="2B5E173C"/>
    <w:rsid w:val="2C0B2222"/>
    <w:rsid w:val="2CFB2F1F"/>
    <w:rsid w:val="2D8C2255"/>
    <w:rsid w:val="2DBF43F4"/>
    <w:rsid w:val="2EC447A8"/>
    <w:rsid w:val="34FB479C"/>
    <w:rsid w:val="35113E3E"/>
    <w:rsid w:val="37FB7D31"/>
    <w:rsid w:val="39AA78E9"/>
    <w:rsid w:val="3B434C68"/>
    <w:rsid w:val="3C215F09"/>
    <w:rsid w:val="3C8479D9"/>
    <w:rsid w:val="3D0F7229"/>
    <w:rsid w:val="3DC40210"/>
    <w:rsid w:val="3FDA4850"/>
    <w:rsid w:val="422549E6"/>
    <w:rsid w:val="42CA57F0"/>
    <w:rsid w:val="450B2DED"/>
    <w:rsid w:val="47163C6A"/>
    <w:rsid w:val="47FE58CB"/>
    <w:rsid w:val="49622010"/>
    <w:rsid w:val="4AB813F6"/>
    <w:rsid w:val="4C8A1E0B"/>
    <w:rsid w:val="4CF03E01"/>
    <w:rsid w:val="4DFA2F88"/>
    <w:rsid w:val="4E1C3E1F"/>
    <w:rsid w:val="4E297B78"/>
    <w:rsid w:val="53441E30"/>
    <w:rsid w:val="558B2EB9"/>
    <w:rsid w:val="56F99A64"/>
    <w:rsid w:val="59F803A7"/>
    <w:rsid w:val="5A8C7525"/>
    <w:rsid w:val="5AF54CD9"/>
    <w:rsid w:val="5B50627E"/>
    <w:rsid w:val="5B5931DC"/>
    <w:rsid w:val="5BAC161C"/>
    <w:rsid w:val="5C412030"/>
    <w:rsid w:val="5C572FD7"/>
    <w:rsid w:val="5DFED9BE"/>
    <w:rsid w:val="5F7F7736"/>
    <w:rsid w:val="604B2EA7"/>
    <w:rsid w:val="61594C83"/>
    <w:rsid w:val="61604A80"/>
    <w:rsid w:val="61DB7357"/>
    <w:rsid w:val="653D5E73"/>
    <w:rsid w:val="673B117F"/>
    <w:rsid w:val="688D5535"/>
    <w:rsid w:val="6A100A71"/>
    <w:rsid w:val="6A1F7419"/>
    <w:rsid w:val="6B572736"/>
    <w:rsid w:val="6BA41E2C"/>
    <w:rsid w:val="6CDFEEB6"/>
    <w:rsid w:val="6D3E167F"/>
    <w:rsid w:val="6DBD17F1"/>
    <w:rsid w:val="6F7026DB"/>
    <w:rsid w:val="6F7174B1"/>
    <w:rsid w:val="6F8A07DC"/>
    <w:rsid w:val="72B6087F"/>
    <w:rsid w:val="72EA51DF"/>
    <w:rsid w:val="741555A3"/>
    <w:rsid w:val="74346692"/>
    <w:rsid w:val="747F2F2B"/>
    <w:rsid w:val="74A24D3F"/>
    <w:rsid w:val="764112E9"/>
    <w:rsid w:val="79392AE5"/>
    <w:rsid w:val="79E51D4C"/>
    <w:rsid w:val="7A8551CA"/>
    <w:rsid w:val="7AAF380F"/>
    <w:rsid w:val="7B2532F7"/>
    <w:rsid w:val="7CEE3CF4"/>
    <w:rsid w:val="7CF7C3FA"/>
    <w:rsid w:val="7D0F7A05"/>
    <w:rsid w:val="7D6EF9B6"/>
    <w:rsid w:val="7EB6D8D4"/>
    <w:rsid w:val="CBFD48DC"/>
    <w:rsid w:val="D15FA493"/>
    <w:rsid w:val="D5AF6559"/>
    <w:rsid w:val="D7DD03E0"/>
    <w:rsid w:val="DCDFE5F7"/>
    <w:rsid w:val="DFF9A26D"/>
    <w:rsid w:val="FBF26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pPr>
    <w:rPr>
      <w:szCs w:val="21"/>
    </w:rPr>
  </w:style>
  <w:style w:type="paragraph" w:styleId="3">
    <w:name w:val="Body Text"/>
    <w:basedOn w:val="1"/>
    <w:next w:val="2"/>
    <w:qFormat/>
    <w:uiPriority w:val="0"/>
    <w:pPr>
      <w:adjustRightInd w:val="0"/>
      <w:snapToGrid w:val="0"/>
      <w:spacing w:line="590" w:lineRule="exact"/>
      <w:ind w:firstLine="680" w:firstLineChars="200"/>
    </w:pPr>
    <w:rPr>
      <w:rFonts w:ascii="宋体" w:hAnsi="宋体" w:eastAsia="方正仿宋_GBK" w:cs="Times New Roman"/>
      <w:sz w:val="3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6392</Words>
  <Characters>6513</Characters>
  <Lines>0</Lines>
  <Paragraphs>0</Paragraphs>
  <TotalTime>42</TotalTime>
  <ScaleCrop>false</ScaleCrop>
  <LinksUpToDate>false</LinksUpToDate>
  <CharactersWithSpaces>6525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2026-08-05T09:57:00Z</dcterms:created>
  <dc:creator>Administrator</dc:creator>
  <cp:lastModifiedBy>李佳明</cp:lastModifiedBy>
  <cp:lastPrinted>2026-08-18T07:51:00Z</cp:lastPrinted>
  <dcterms:modified xsi:type="dcterms:W3CDTF">2026-10-14T08:12:55Z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eyJoZGlkIjoiMTA3YzcxMWM5OTM4NGI0ZTJjMjVlNWI2MjQzNWJjNWIiLCJ1c2VySWQiOiI1MTQzMjA5NzIifQ==</vt:lpwstr>
  </property>
  <property fmtid="{D5CDD505-2E9C-101B-9397-08002B2CF9AE}" pid="4" name="ICV">
    <vt:lpwstr>570FC3A838BF4CC0B8A4EB722CDAAF8F_12</vt:lpwstr>
  </property>
</Properties>
</file>