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3C508">
      <w:pPr>
        <w:keepNext w:val="0"/>
        <w:keepLines w:val="0"/>
        <w:widowControl/>
        <w:suppressLineNumbers w:val="0"/>
        <w:ind w:left="0" w:leftChars="0" w:firstLine="0" w:firstLineChars="0"/>
        <w:jc w:val="center"/>
        <w:rPr>
          <w:rFonts w:hint="eastAsia" w:ascii="方正小标宋_GBK" w:hAnsi="方正小标宋_GBK" w:eastAsia="方正小标宋_GBK" w:cs="方正小标宋_GBK"/>
          <w:color w:val="000000"/>
          <w:kern w:val="0"/>
          <w:sz w:val="44"/>
          <w:szCs w:val="44"/>
          <w:lang w:val="en-US" w:eastAsia="zh-CN" w:bidi="ar"/>
        </w:rPr>
      </w:pPr>
      <w:bookmarkStart w:id="167" w:name="_GoBack"/>
      <w:bookmarkEnd w:id="167"/>
      <w:r>
        <w:rPr>
          <w:rFonts w:hint="eastAsia" w:ascii="方正小标宋_GBK" w:hAnsi="方正小标宋_GBK" w:eastAsia="方正小标宋_GBK" w:cs="方正小标宋_GBK"/>
          <w:color w:val="000000"/>
          <w:kern w:val="0"/>
          <w:sz w:val="44"/>
          <w:szCs w:val="44"/>
          <w:lang w:val="en-US" w:eastAsia="zh-CN" w:bidi="ar"/>
        </w:rPr>
        <w:t>彰武县物流专项规划（2024-2035年)</w:t>
      </w:r>
    </w:p>
    <w:p w14:paraId="18864D71">
      <w:pPr>
        <w:keepNext w:val="0"/>
        <w:keepLines w:val="0"/>
        <w:widowControl/>
        <w:suppressLineNumbers w:val="0"/>
        <w:ind w:left="0" w:leftChars="0" w:firstLine="0" w:firstLineChars="0"/>
        <w:jc w:val="center"/>
        <w:rPr>
          <w:rFonts w:hint="eastAsia" w:ascii="方正小标宋_GBK" w:hAnsi="方正小标宋_GBK" w:eastAsia="方正小标宋_GBK" w:cs="方正小标宋_GBK"/>
          <w:color w:val="000000"/>
          <w:kern w:val="0"/>
          <w:sz w:val="44"/>
          <w:szCs w:val="44"/>
          <w:lang w:val="en-US" w:eastAsia="zh-CN" w:bidi="ar"/>
        </w:rPr>
      </w:pPr>
      <w:r>
        <w:rPr>
          <w:rFonts w:hint="eastAsia" w:ascii="方正小标宋_GBK" w:hAnsi="方正小标宋_GBK" w:eastAsia="方正小标宋_GBK" w:cs="方正小标宋_GBK"/>
          <w:color w:val="000000"/>
          <w:kern w:val="0"/>
          <w:sz w:val="44"/>
          <w:szCs w:val="44"/>
          <w:lang w:val="en-US" w:eastAsia="zh-CN" w:bidi="ar"/>
        </w:rPr>
        <w:t>(征求意见稿）</w:t>
      </w:r>
    </w:p>
    <w:p w14:paraId="626D642E">
      <w:pPr>
        <w:keepNext w:val="0"/>
        <w:keepLines w:val="0"/>
        <w:widowControl/>
        <w:suppressLineNumbers w:val="0"/>
        <w:ind w:left="0" w:leftChars="0" w:firstLine="0" w:firstLineChars="0"/>
        <w:jc w:val="center"/>
        <w:rPr>
          <w:rFonts w:hint="eastAsia" w:ascii="方正小标宋_GBK" w:hAnsi="方正小标宋_GBK" w:eastAsia="方正小标宋_GBK" w:cs="方正小标宋_GBK"/>
          <w:color w:val="000000"/>
          <w:kern w:val="0"/>
          <w:sz w:val="44"/>
          <w:szCs w:val="44"/>
          <w:lang w:val="en-US" w:eastAsia="zh-CN" w:bidi="ar"/>
        </w:rPr>
      </w:pPr>
      <w:r>
        <w:rPr>
          <w:rFonts w:hint="eastAsia" w:ascii="方正小标宋_GBK" w:hAnsi="方正小标宋_GBK" w:eastAsia="方正小标宋_GBK" w:cs="方正小标宋_GBK"/>
          <w:color w:val="000000"/>
          <w:kern w:val="0"/>
          <w:sz w:val="44"/>
          <w:szCs w:val="44"/>
          <w:lang w:val="en-US" w:eastAsia="zh-CN" w:bidi="ar"/>
        </w:rPr>
        <w:t>说明书</w:t>
      </w:r>
    </w:p>
    <w:p w14:paraId="5974F456">
      <w:pPr>
        <w:pStyle w:val="2"/>
        <w:numPr>
          <w:ilvl w:val="0"/>
          <w:numId w:val="0"/>
        </w:numPr>
        <w:bidi w:val="0"/>
        <w:ind w:leftChars="0"/>
        <w:rPr>
          <w:highlight w:val="none"/>
        </w:rPr>
      </w:pPr>
      <w:bookmarkStart w:id="0" w:name="_Toc17376"/>
      <w:bookmarkStart w:id="1" w:name="_Toc30561"/>
      <w:bookmarkStart w:id="2" w:name="_Toc17422"/>
      <w:r>
        <w:rPr>
          <w:rFonts w:hint="eastAsia"/>
          <w:highlight w:val="none"/>
          <w:lang w:val="en-US" w:eastAsia="zh-CN"/>
        </w:rPr>
        <w:t>1.项目概述</w:t>
      </w:r>
      <w:bookmarkEnd w:id="0"/>
      <w:bookmarkEnd w:id="1"/>
      <w:bookmarkEnd w:id="2"/>
    </w:p>
    <w:p w14:paraId="66DF6F00">
      <w:pPr>
        <w:pStyle w:val="3"/>
        <w:bidi w:val="0"/>
        <w:rPr>
          <w:highlight w:val="none"/>
        </w:rPr>
      </w:pPr>
      <w:bookmarkStart w:id="3" w:name="_Toc32429"/>
      <w:bookmarkStart w:id="4" w:name="_Toc27236"/>
      <w:bookmarkStart w:id="5" w:name="_Toc8889"/>
      <w:r>
        <w:rPr>
          <w:rFonts w:hint="eastAsia"/>
          <w:highlight w:val="none"/>
          <w:lang w:val="en-US" w:eastAsia="zh-CN"/>
        </w:rPr>
        <w:t>规划背景</w:t>
      </w:r>
      <w:bookmarkEnd w:id="3"/>
      <w:bookmarkEnd w:id="4"/>
      <w:bookmarkEnd w:id="5"/>
    </w:p>
    <w:p w14:paraId="2F89AA4A">
      <w:pPr>
        <w:bidi w:val="0"/>
        <w:rPr>
          <w:rFonts w:hint="default"/>
          <w:highlight w:val="none"/>
          <w:lang w:val="en-US"/>
        </w:rPr>
      </w:pPr>
      <w:r>
        <w:rPr>
          <w:rFonts w:hint="eastAsia"/>
          <w:highlight w:val="none"/>
          <w:lang w:val="en-US" w:eastAsia="zh-CN"/>
        </w:rPr>
        <w:t>国家“一带一路”倡议、京津冀协同发展、新一轮东北振兴、构建双循环发展格局、辽宁省构建“一圈一带两区”区域协调发展格局等多重战略叠加交汇，为区域互惠和协同联动拓展空间，为产业协作和经济发展创造有利条件，为彰武县现代物流业发展带来重大机遇。《辽宁省推进“一圈一带两区”区域协调发展三年行动方案》提出，辽西融入京津冀协同发展战略先导区要提升物流运输综合能力，加快仓储物流和电子商务进农村综合示范县建设，打造“蒙东通往沈阳都市圈通道上的综合服务型区域物流基地”“辽西北通往京津冀地区通道上的商贸物流交易中心”“覆盖东北辐射全国的硅砂贸易中心”。</w:t>
      </w:r>
    </w:p>
    <w:p w14:paraId="71E0B91B">
      <w:pPr>
        <w:pStyle w:val="4"/>
        <w:bidi w:val="0"/>
        <w:rPr>
          <w:rFonts w:hint="default"/>
          <w:highlight w:val="none"/>
          <w:lang w:val="en-US"/>
        </w:rPr>
      </w:pPr>
      <w:bookmarkStart w:id="6" w:name="_Toc26051"/>
      <w:r>
        <w:rPr>
          <w:rFonts w:hint="eastAsia"/>
          <w:highlight w:val="none"/>
          <w:lang w:val="en-US" w:eastAsia="zh-CN"/>
        </w:rPr>
        <w:t>国家</w:t>
      </w:r>
      <w:bookmarkEnd w:id="6"/>
      <w:r>
        <w:rPr>
          <w:rFonts w:hint="eastAsia"/>
          <w:highlight w:val="none"/>
          <w:lang w:val="en-US" w:eastAsia="zh-CN"/>
        </w:rPr>
        <w:t>层面</w:t>
      </w:r>
    </w:p>
    <w:p w14:paraId="6D944C45">
      <w:pPr>
        <w:keepNext w:val="0"/>
        <w:keepLines w:val="0"/>
        <w:widowControl/>
        <w:suppressLineNumbers w:val="0"/>
        <w:jc w:val="left"/>
        <w:rPr>
          <w:rFonts w:hint="eastAsia"/>
          <w:highlight w:val="none"/>
          <w:lang w:val="en-US" w:eastAsia="zh-CN"/>
        </w:rPr>
      </w:pPr>
      <w:r>
        <w:rPr>
          <w:rFonts w:hint="eastAsia"/>
          <w:highlight w:val="none"/>
          <w:lang w:val="en-US" w:eastAsia="zh-CN"/>
        </w:rPr>
        <w:t>2021年3月《中华人民共和国国民经济和社会发展第十四个五年规划和2035 年远景目标纲要》提出建设现代物流体系，加快发展冷链物流，统筹物流园区设施，骨干线路、区域分拨中心和末端配送节点建设，完善国家物流园区、骨干冷链物流基地设施条件，健全县乡村三级物流配送体系货运产品，建设现代物流体系，加快发展冷链物流，统筹物流园区设施，骨干线路、区域分拨中心和末端配送节点建设。</w:t>
      </w:r>
    </w:p>
    <w:p w14:paraId="5F560A35">
      <w:pPr>
        <w:keepNext w:val="0"/>
        <w:keepLines w:val="0"/>
        <w:widowControl/>
        <w:suppressLineNumbers w:val="0"/>
        <w:jc w:val="left"/>
        <w:rPr>
          <w:rFonts w:hint="eastAsia"/>
          <w:highlight w:val="none"/>
          <w:lang w:val="en-US" w:eastAsia="zh-CN"/>
        </w:rPr>
      </w:pPr>
      <w:r>
        <w:rPr>
          <w:rFonts w:hint="eastAsia"/>
          <w:highlight w:val="none"/>
          <w:lang w:val="en-US" w:eastAsia="zh-CN"/>
        </w:rPr>
        <w:t>2021年11月《综合运输服务“十四五”发展规划》，提出到2025年，推动构建现代物流体系，推进现代物流提质、增效、降本。</w:t>
      </w:r>
    </w:p>
    <w:p w14:paraId="50A0EE94">
      <w:pPr>
        <w:keepNext w:val="0"/>
        <w:keepLines w:val="0"/>
        <w:widowControl/>
        <w:suppressLineNumbers w:val="0"/>
        <w:jc w:val="left"/>
        <w:rPr>
          <w:rFonts w:hint="eastAsia"/>
          <w:highlight w:val="none"/>
          <w:lang w:val="en-US" w:eastAsia="zh-CN"/>
        </w:rPr>
      </w:pPr>
      <w:r>
        <w:rPr>
          <w:rFonts w:hint="eastAsia"/>
          <w:highlight w:val="none"/>
          <w:lang w:val="en-US" w:eastAsia="zh-CN"/>
        </w:rPr>
        <w:t>2023年12月《关于加快推进农村客货邮融合发展的指导意见》，提出结合各地经济结构、人口分布和产业发展特点，立足农村出行、货运物流、邮政快递等运输需求，一县一策、分类梯次推进本地农村客货邮融合发展；加强农村客运、货运物流、邮政快递、养护、供销等资源的共建共用，完善仓储、分拣、运输、配送等环节集约共享机制，提升农村运输集约化水平。</w:t>
      </w:r>
    </w:p>
    <w:p w14:paraId="2F8FFCE1">
      <w:pPr>
        <w:keepNext w:val="0"/>
        <w:keepLines w:val="0"/>
        <w:widowControl/>
        <w:suppressLineNumbers w:val="0"/>
        <w:jc w:val="left"/>
        <w:rPr>
          <w:rFonts w:hint="default"/>
          <w:highlight w:val="none"/>
          <w:lang w:val="en-US" w:eastAsia="zh-CN"/>
        </w:rPr>
      </w:pPr>
      <w:r>
        <w:rPr>
          <w:rFonts w:hint="eastAsia"/>
          <w:highlight w:val="none"/>
          <w:lang w:val="en-US" w:eastAsia="zh-CN"/>
        </w:rPr>
        <w:t>2024年5月</w:t>
      </w:r>
      <w:bookmarkStart w:id="7" w:name="OLE_LINK4"/>
      <w:r>
        <w:rPr>
          <w:rFonts w:hint="eastAsia"/>
          <w:highlight w:val="none"/>
          <w:lang w:val="en-US" w:eastAsia="zh-CN"/>
        </w:rPr>
        <w:t>《关于做好2024年降成本重点工作的通知》</w:t>
      </w:r>
      <w:bookmarkEnd w:id="7"/>
      <w:r>
        <w:rPr>
          <w:rFonts w:hint="eastAsia"/>
          <w:highlight w:val="none"/>
          <w:lang w:val="en-US" w:eastAsia="zh-CN"/>
        </w:rPr>
        <w:t>提出完善现代物流体系。稳步推进国家物流园区、国家骨干冷链物流基地建设，促进现代物流高质量发展。新增支持一批城市开展国家综合货运园区补链强链，推动运输方式一体化融合，持续实施县域商业建设行动，支持建设改造县级物流配送中心和乡镇快递物流站点，完善仓储、运输、配送等设施，加快补齐农村商业设施短板，健全县乡村物流配送体系。</w:t>
      </w:r>
    </w:p>
    <w:p w14:paraId="034147C3">
      <w:pPr>
        <w:pStyle w:val="4"/>
        <w:bidi w:val="0"/>
        <w:rPr>
          <w:rFonts w:hint="default"/>
          <w:highlight w:val="none"/>
          <w:lang w:val="en-US"/>
        </w:rPr>
      </w:pPr>
      <w:bookmarkStart w:id="8" w:name="_Toc7938"/>
      <w:r>
        <w:rPr>
          <w:rFonts w:hint="eastAsia"/>
          <w:highlight w:val="none"/>
          <w:lang w:val="en-US" w:eastAsia="zh-CN"/>
        </w:rPr>
        <w:t>辽宁</w:t>
      </w:r>
      <w:bookmarkEnd w:id="8"/>
      <w:r>
        <w:rPr>
          <w:rFonts w:hint="eastAsia"/>
          <w:highlight w:val="none"/>
          <w:lang w:val="en-US" w:eastAsia="zh-CN"/>
        </w:rPr>
        <w:t>省层面</w:t>
      </w:r>
    </w:p>
    <w:p w14:paraId="2E688BDA">
      <w:pPr>
        <w:keepNext w:val="0"/>
        <w:keepLines w:val="0"/>
        <w:widowControl/>
        <w:suppressLineNumbers w:val="0"/>
        <w:jc w:val="left"/>
        <w:rPr>
          <w:rFonts w:hint="eastAsia"/>
          <w:highlight w:val="none"/>
          <w:lang w:val="en-US" w:eastAsia="zh-CN"/>
        </w:rPr>
      </w:pPr>
      <w:bookmarkStart w:id="9" w:name="OLE_LINK1"/>
      <w:r>
        <w:rPr>
          <w:rFonts w:hint="eastAsia"/>
          <w:highlight w:val="none"/>
          <w:lang w:val="en-US" w:eastAsia="zh-CN"/>
        </w:rPr>
        <w:t>2021年7月29日，国务院办公厅印发《辽宁省加快推进农村寄递物流体系建设实施方案》提出到2025年底，我省快递服务全面进村，实现乡村设点，建成与农村群众美好生活相匹配，衔接城乡、普惠便民、运转高效、系统完善、双向畅通的农村寄递物流服务体系</w:t>
      </w:r>
      <w:bookmarkEnd w:id="9"/>
      <w:r>
        <w:rPr>
          <w:rFonts w:hint="eastAsia"/>
          <w:highlight w:val="none"/>
          <w:lang w:val="en-US" w:eastAsia="zh-CN"/>
        </w:rPr>
        <w:t>。</w:t>
      </w:r>
    </w:p>
    <w:p w14:paraId="3B5DDE94">
      <w:pPr>
        <w:keepNext w:val="0"/>
        <w:keepLines w:val="0"/>
        <w:widowControl/>
        <w:suppressLineNumbers w:val="0"/>
        <w:jc w:val="left"/>
        <w:rPr>
          <w:rFonts w:hint="eastAsia"/>
          <w:highlight w:val="none"/>
          <w:lang w:val="en-US" w:eastAsia="zh-CN"/>
        </w:rPr>
      </w:pPr>
      <w:r>
        <w:rPr>
          <w:rFonts w:hint="eastAsia"/>
          <w:highlight w:val="none"/>
          <w:lang w:val="en-US" w:eastAsia="zh-CN"/>
        </w:rPr>
        <w:t>《辽宁省推进多式联运高质量发展优化调整运输结构行动方案（2022-2025年）》提出，到2025年，全省多式联运发展水平明显提升，运输结构显著优化，形成大宗货物及集装箱中长距离运输以铁路和水路为主的发展格局，建成安全可靠、便捷经济、集约高效、绿色低碳的多式联运设施体系与服务体系。</w:t>
      </w:r>
    </w:p>
    <w:p w14:paraId="20235F0C">
      <w:pPr>
        <w:keepNext w:val="0"/>
        <w:keepLines w:val="0"/>
        <w:widowControl/>
        <w:suppressLineNumbers w:val="0"/>
        <w:jc w:val="left"/>
        <w:rPr>
          <w:rFonts w:hint="eastAsia"/>
          <w:highlight w:val="none"/>
          <w:lang w:val="en-US" w:eastAsia="zh-CN"/>
        </w:rPr>
      </w:pPr>
      <w:r>
        <w:rPr>
          <w:rFonts w:hint="eastAsia"/>
          <w:highlight w:val="none"/>
          <w:lang w:val="en-US" w:eastAsia="zh-CN"/>
        </w:rPr>
        <w:t>2022年10月，辽宁省人民政府办公厅印发《辽宁省冷链物流高质量发展实施方案（2022-2025年）》提出依托县城、重点镇布局建设一批产地冷链集配中心，支持有条件的县级物流中心和乡镇运输服务站拓展冷链物流服务功能，改善产地公共冷库设施条件，强化产地预冷、仓储保鲜、分级分拣、初加工、产地直销等能力，提高农产品产后集散和商品化处理效率。在消费规模和物流中转规模较大的市新建和改扩建一批销地冷链集配中心，整合流通加工、区域分拨、城市配送等功能，引导冷库等设施向销地冷链集配中心集中，提高区域分拨配送效率。</w:t>
      </w:r>
    </w:p>
    <w:p w14:paraId="347DDB3F">
      <w:pPr>
        <w:pStyle w:val="4"/>
        <w:bidi w:val="0"/>
        <w:rPr>
          <w:rFonts w:hint="default"/>
          <w:lang w:val="en-US" w:eastAsia="zh-CN"/>
        </w:rPr>
      </w:pPr>
      <w:r>
        <w:rPr>
          <w:rFonts w:hint="eastAsia"/>
          <w:lang w:val="en-US" w:eastAsia="zh-CN"/>
        </w:rPr>
        <w:t>阜新市层面</w:t>
      </w:r>
    </w:p>
    <w:p w14:paraId="37A5BD9A">
      <w:pPr>
        <w:bidi w:val="0"/>
        <w:rPr>
          <w:rFonts w:hint="eastAsia"/>
          <w:highlight w:val="none"/>
          <w:lang w:val="en-US" w:eastAsia="zh-CN"/>
        </w:rPr>
      </w:pPr>
      <w:r>
        <w:rPr>
          <w:rFonts w:hint="eastAsia"/>
          <w:highlight w:val="none"/>
          <w:lang w:val="en-US" w:eastAsia="zh-CN"/>
        </w:rPr>
        <w:t>2024年</w:t>
      </w:r>
      <w:r>
        <w:rPr>
          <w:rFonts w:hint="default"/>
          <w:highlight w:val="none"/>
          <w:lang w:val="en-US"/>
        </w:rPr>
        <w:t>《阜新市构建现代物流体系攻坚行动方案》</w:t>
      </w:r>
      <w:r>
        <w:rPr>
          <w:rFonts w:hint="eastAsia"/>
          <w:highlight w:val="none"/>
          <w:lang w:val="en-US" w:eastAsia="zh-CN"/>
        </w:rPr>
        <w:t>提出初步建立“通道＋枢纽＋网络＋平台（企业）”的现代物流体系，全市物流相关行业增加值增幅达到10%以上。重点实施“1+5”行动计划。一是做好物流发展顶层设计。全面摸清物流产业发展情况，编制阜新现代物流业发展规划，加快构建内畅外联的现代流通网络，夯实我市融入全国统一大市场建设基础。二是实施物流网络联通行动。加快推进阜盘铁路、新阜高速、国省干线公路提级改造及农村公路建设，完善联运枢纽网络。三是实施物流园区升级行动。推动白玉都物流园提档升级以及新邱物流园建设和意通物流园改制重组。四是实施农村物流补短板行动。加快补齐农产品产地“最先一公里”冷链物流短板，健全县、乡、村寄递物流体系，推动电子商务进农村综合示范项目建设和农村商贸流通设施提档升级。2024年，共同配送率达到35％以上，农村寄递物流服务基本实现全覆盖，乡镇电商服务站覆盖率达到100%，村级电商服务站覆盖率达到90%。五是实施区域物流协调发展行动。发挥“全辽管钥”区位交通优势，谋划建设彰武物流中心，打造沈阳现代化都市圈重要物流节点。同时推进中农批（阜新）智慧冷链物流园项目落地建设，加快建成面向京津冀市场的绿色食品精深加工集散地。六是实施物流效能提升行动。积极发展公铁联运，推进大宗货物及中长距离货物“公转铁”运输，支持辽西大宗仓储交易平台、海州区抖音玛瑙直播基地做大做强。不断提高物流配送效率，持续提升物流智能化水平，推动先进信息技术在电商和快递物流领域广泛应用。</w:t>
      </w:r>
    </w:p>
    <w:p w14:paraId="04CD4B99">
      <w:pPr>
        <w:pStyle w:val="4"/>
        <w:bidi w:val="0"/>
        <w:rPr>
          <w:rFonts w:hint="eastAsia"/>
          <w:lang w:val="en-US" w:eastAsia="zh-CN"/>
        </w:rPr>
      </w:pPr>
      <w:r>
        <w:rPr>
          <w:rFonts w:hint="eastAsia"/>
          <w:lang w:val="en-US" w:eastAsia="zh-CN"/>
        </w:rPr>
        <w:t>彰武县层面</w:t>
      </w:r>
    </w:p>
    <w:p w14:paraId="7E67DE36">
      <w:pPr>
        <w:rPr>
          <w:rFonts w:hint="default"/>
          <w:highlight w:val="none"/>
          <w:lang w:val="en-US" w:eastAsia="zh-CN"/>
        </w:rPr>
      </w:pPr>
      <w:r>
        <w:rPr>
          <w:rFonts w:hint="eastAsia"/>
          <w:highlight w:val="none"/>
          <w:lang w:val="en-US" w:eastAsia="zh-CN"/>
        </w:rPr>
        <w:t>2024年11月，彰武县人民政府印发《彰武县关于提升铁路场站能力、打造彰武县硅砂产业综合物流基地的函》提出持续叫响“中国砂都”品牌，全面振兴彰武硅砂产业，县政府积极推动硅砂深加工配套物流体系建设以沈阳局集团有限公司通辽铁路物流中心优势和丰富经验为坚实基础，通过深入合作形成有货源保障、有完善设施、有铁路运输配套服务的硅砂产业综合物流基地，承担起彰武北部以硅砂为主的物流配送任务，提出补强场站功能，提升运输能力，形成彰武、章古台两个场站综合配套的硅砂物流基地，积极构建完整的全过程物流链，努力为企业提供“门到门”便捷服务；政府助力发展，推动铁路运输增量，县政府将助力铁路增强物流基地经营能力，推动硅砂产业相关物流业务集中到物流基地；路企团结合作，物流资源融合发展，结合铁路货运改革新变化，紧抓县域经济发展新机遇，以提升铁路场站能力为抓手，不断增强硅砂企业发展信心，通过深化路企合作，进一步扩大产业发展规模，促进铁路运输经营为地方经济高质量发展做出更大贡献。</w:t>
      </w:r>
    </w:p>
    <w:p w14:paraId="29CFBAA7">
      <w:pPr>
        <w:pStyle w:val="3"/>
        <w:bidi w:val="0"/>
        <w:rPr>
          <w:rFonts w:hint="default"/>
          <w:highlight w:val="none"/>
          <w:lang w:val="en-US"/>
        </w:rPr>
      </w:pPr>
      <w:bookmarkStart w:id="10" w:name="_Toc32047"/>
      <w:bookmarkStart w:id="11" w:name="_Toc14194"/>
      <w:bookmarkStart w:id="12" w:name="_Toc20948"/>
      <w:r>
        <w:rPr>
          <w:rFonts w:hint="eastAsia"/>
          <w:highlight w:val="none"/>
          <w:lang w:val="en-US" w:eastAsia="zh-CN"/>
        </w:rPr>
        <w:t>规划内容和规划范围</w:t>
      </w:r>
      <w:bookmarkEnd w:id="10"/>
      <w:bookmarkEnd w:id="11"/>
      <w:bookmarkEnd w:id="12"/>
    </w:p>
    <w:p w14:paraId="1303AFFF">
      <w:pPr>
        <w:pStyle w:val="4"/>
        <w:bidi w:val="0"/>
        <w:rPr>
          <w:rFonts w:hint="default"/>
          <w:highlight w:val="none"/>
          <w:lang w:val="en-US"/>
        </w:rPr>
      </w:pPr>
      <w:bookmarkStart w:id="13" w:name="_Toc12933"/>
      <w:r>
        <w:rPr>
          <w:rFonts w:hint="eastAsia"/>
          <w:highlight w:val="none"/>
          <w:lang w:val="en-US" w:eastAsia="zh-CN"/>
        </w:rPr>
        <w:t>规划内容</w:t>
      </w:r>
      <w:bookmarkEnd w:id="13"/>
    </w:p>
    <w:p w14:paraId="15E7A10C">
      <w:pPr>
        <w:bidi w:val="0"/>
        <w:rPr>
          <w:rFonts w:hint="eastAsia"/>
          <w:highlight w:val="none"/>
          <w:lang w:val="en-US" w:eastAsia="zh-CN"/>
        </w:rPr>
      </w:pPr>
      <w:r>
        <w:rPr>
          <w:rFonts w:hint="default"/>
          <w:highlight w:val="none"/>
          <w:lang w:val="en-US" w:eastAsia="zh-CN"/>
        </w:rPr>
        <w:t>分析</w:t>
      </w:r>
      <w:r>
        <w:rPr>
          <w:rFonts w:hint="eastAsia"/>
          <w:highlight w:val="none"/>
          <w:lang w:val="en-US" w:eastAsia="zh-CN"/>
        </w:rPr>
        <w:t>彰武县</w:t>
      </w:r>
      <w:r>
        <w:rPr>
          <w:rFonts w:hint="default"/>
          <w:highlight w:val="none"/>
          <w:lang w:val="en-US" w:eastAsia="zh-CN"/>
        </w:rPr>
        <w:t>区位条件、自然地理格局、人口经济、资源环境、土地利用、历史文化等现状情况，运用大数据等数字化手段，总结提炼彰武县物流产业的主要特征和存在问题</w:t>
      </w:r>
      <w:r>
        <w:rPr>
          <w:rFonts w:hint="eastAsia"/>
          <w:highlight w:val="none"/>
          <w:lang w:val="en-US" w:eastAsia="zh-CN"/>
        </w:rPr>
        <w:t>，紧抓“沈阳现代化都市圈”等战略部署，明确彰武县物流发展目标，规划定位，构建彰武县现代化物流产业体系，优化物流场站空间布局，打造不同产业类别物流中心等内容。</w:t>
      </w:r>
    </w:p>
    <w:p w14:paraId="18ECD3E3">
      <w:pPr>
        <w:pStyle w:val="4"/>
        <w:bidi w:val="0"/>
        <w:rPr>
          <w:rFonts w:hint="eastAsia"/>
          <w:highlight w:val="none"/>
          <w:lang w:val="en-US" w:eastAsia="zh-CN"/>
        </w:rPr>
      </w:pPr>
      <w:bookmarkStart w:id="14" w:name="_Toc345"/>
      <w:r>
        <w:rPr>
          <w:rFonts w:hint="eastAsia"/>
          <w:highlight w:val="none"/>
          <w:lang w:val="en-US" w:eastAsia="zh-CN"/>
        </w:rPr>
        <w:t>规划范围</w:t>
      </w:r>
      <w:bookmarkEnd w:id="14"/>
    </w:p>
    <w:p w14:paraId="09991964">
      <w:pPr>
        <w:bidi w:val="0"/>
        <w:rPr>
          <w:rFonts w:hint="eastAsia"/>
          <w:highlight w:val="none"/>
          <w:lang w:val="en-US" w:eastAsia="zh-CN"/>
        </w:rPr>
      </w:pPr>
      <w:r>
        <w:rPr>
          <w:highlight w:val="none"/>
          <w:lang w:val="en-US" w:eastAsia="zh-CN"/>
        </w:rPr>
        <w:t>本次规划范围包括彰武县行政辖区内全部国土空间，总面积</w:t>
      </w:r>
      <w:r>
        <w:rPr>
          <w:rFonts w:hint="eastAsia"/>
          <w:highlight w:val="none"/>
          <w:lang w:val="en-US" w:eastAsia="zh-CN"/>
        </w:rPr>
        <w:t>3623平方公里。</w:t>
      </w:r>
    </w:p>
    <w:p w14:paraId="4E65E2DF">
      <w:pPr>
        <w:pStyle w:val="3"/>
        <w:bidi w:val="0"/>
        <w:rPr>
          <w:rFonts w:hint="default"/>
          <w:highlight w:val="none"/>
          <w:lang w:val="en-US" w:eastAsia="zh-CN"/>
        </w:rPr>
      </w:pPr>
      <w:bookmarkStart w:id="15" w:name="_Toc11641"/>
      <w:bookmarkStart w:id="16" w:name="_Toc27946"/>
      <w:bookmarkStart w:id="17" w:name="_Toc8160"/>
      <w:r>
        <w:rPr>
          <w:rFonts w:hint="eastAsia"/>
          <w:highlight w:val="none"/>
          <w:lang w:val="en-US" w:eastAsia="zh-CN"/>
        </w:rPr>
        <w:t>规划期限</w:t>
      </w:r>
      <w:bookmarkEnd w:id="15"/>
      <w:bookmarkEnd w:id="16"/>
      <w:bookmarkEnd w:id="17"/>
    </w:p>
    <w:p w14:paraId="00991032">
      <w:pPr>
        <w:bidi w:val="0"/>
        <w:rPr>
          <w:highlight w:val="none"/>
        </w:rPr>
      </w:pPr>
      <w:r>
        <w:rPr>
          <w:rFonts w:hint="eastAsia"/>
          <w:highlight w:val="none"/>
          <w:lang w:val="en-US" w:eastAsia="zh-CN"/>
        </w:rPr>
        <w:t>规划期限：近期：2027年；远期2035年。</w:t>
      </w:r>
    </w:p>
    <w:p w14:paraId="37B46D05">
      <w:pPr>
        <w:pStyle w:val="3"/>
        <w:bidi w:val="0"/>
        <w:rPr>
          <w:rFonts w:hint="default"/>
          <w:highlight w:val="none"/>
          <w:lang w:val="en-US"/>
        </w:rPr>
      </w:pPr>
      <w:bookmarkStart w:id="18" w:name="_Toc12169"/>
      <w:bookmarkStart w:id="19" w:name="_Toc11670"/>
      <w:bookmarkStart w:id="20" w:name="_Toc6011"/>
      <w:r>
        <w:rPr>
          <w:rFonts w:hint="eastAsia"/>
          <w:highlight w:val="none"/>
          <w:lang w:val="en-US" w:eastAsia="zh-CN"/>
        </w:rPr>
        <w:t>规划依据</w:t>
      </w:r>
      <w:bookmarkEnd w:id="18"/>
      <w:bookmarkEnd w:id="19"/>
      <w:bookmarkEnd w:id="20"/>
    </w:p>
    <w:p w14:paraId="75CF5BA1">
      <w:pPr>
        <w:rPr>
          <w:rFonts w:hint="default" w:eastAsia="仿宋_GB2312"/>
          <w:lang w:val="en-US" w:eastAsia="zh-CN"/>
        </w:rPr>
      </w:pPr>
      <w:r>
        <w:rPr>
          <w:rFonts w:hint="eastAsia"/>
          <w:b/>
          <w:bCs/>
          <w:lang w:val="en-US" w:eastAsia="zh-CN"/>
        </w:rPr>
        <w:t>国家层面：</w:t>
      </w:r>
    </w:p>
    <w:p w14:paraId="3B49F368">
      <w:pPr>
        <w:numPr>
          <w:ilvl w:val="0"/>
          <w:numId w:val="2"/>
        </w:numPr>
        <w:bidi w:val="0"/>
        <w:ind w:left="425" w:leftChars="0" w:hanging="425" w:firstLineChars="0"/>
        <w:rPr>
          <w:highlight w:val="none"/>
        </w:rPr>
      </w:pPr>
      <w:r>
        <w:rPr>
          <w:highlight w:val="none"/>
          <w:lang w:val="en-US" w:eastAsia="zh-CN"/>
        </w:rPr>
        <w:t xml:space="preserve">《中华人民共和国城乡规划法》（2019 年修正）； </w:t>
      </w:r>
    </w:p>
    <w:p w14:paraId="035938C7">
      <w:pPr>
        <w:numPr>
          <w:ilvl w:val="0"/>
          <w:numId w:val="2"/>
        </w:numPr>
        <w:bidi w:val="0"/>
        <w:ind w:left="425" w:leftChars="0" w:hanging="425" w:firstLineChars="0"/>
        <w:rPr>
          <w:highlight w:val="none"/>
        </w:rPr>
      </w:pPr>
      <w:r>
        <w:rPr>
          <w:rFonts w:hint="eastAsia"/>
          <w:highlight w:val="none"/>
          <w:lang w:val="en-US" w:eastAsia="zh-CN"/>
        </w:rPr>
        <w:t xml:space="preserve">《中华人民共和国土地管理法》（2019 年修正）； </w:t>
      </w:r>
    </w:p>
    <w:p w14:paraId="445A0317">
      <w:pPr>
        <w:numPr>
          <w:ilvl w:val="0"/>
          <w:numId w:val="2"/>
        </w:numPr>
        <w:bidi w:val="0"/>
        <w:ind w:left="425" w:leftChars="0" w:hanging="425" w:firstLineChars="0"/>
        <w:rPr>
          <w:highlight w:val="none"/>
        </w:rPr>
      </w:pPr>
      <w:r>
        <w:rPr>
          <w:rFonts w:hint="eastAsia"/>
          <w:highlight w:val="none"/>
          <w:lang w:val="en-US" w:eastAsia="zh-CN"/>
        </w:rPr>
        <w:t xml:space="preserve">《国土空间调查、规划、用途管制用地用海分类指南》（自然资源部，2023年11月）； </w:t>
      </w:r>
    </w:p>
    <w:p w14:paraId="2084811F">
      <w:pPr>
        <w:numPr>
          <w:ilvl w:val="0"/>
          <w:numId w:val="2"/>
        </w:numPr>
        <w:bidi w:val="0"/>
        <w:ind w:left="425" w:leftChars="0" w:hanging="425" w:firstLineChars="0"/>
        <w:rPr>
          <w:highlight w:val="none"/>
        </w:rPr>
      </w:pPr>
      <w:r>
        <w:rPr>
          <w:highlight w:val="none"/>
          <w:lang w:val="en-US" w:eastAsia="zh-CN"/>
        </w:rPr>
        <w:t>《全国现代设施农业建设规划（2023-2030 年）》；</w:t>
      </w:r>
      <w:r>
        <w:rPr>
          <w:rFonts w:hint="eastAsia"/>
          <w:highlight w:val="none"/>
          <w:lang w:val="en-US" w:eastAsia="zh-CN"/>
        </w:rPr>
        <w:t xml:space="preserve">《农业农村部办公厅关于继续做好农产品产地冷藏保鲜设施建设工作的通知》（农办市〔2023〕6 号）； </w:t>
      </w:r>
    </w:p>
    <w:p w14:paraId="1B9902E0">
      <w:pPr>
        <w:numPr>
          <w:ilvl w:val="0"/>
          <w:numId w:val="2"/>
        </w:numPr>
        <w:bidi w:val="0"/>
        <w:ind w:left="425" w:leftChars="0" w:hanging="425" w:firstLineChars="0"/>
        <w:rPr>
          <w:highlight w:val="none"/>
        </w:rPr>
      </w:pPr>
      <w:r>
        <w:rPr>
          <w:rFonts w:hint="eastAsia"/>
          <w:highlight w:val="none"/>
          <w:lang w:val="en-US" w:eastAsia="zh-CN"/>
        </w:rPr>
        <w:t xml:space="preserve">《中共中央 国务院关于做好 2023 年全面推进乡村振兴重点工作的意见》； </w:t>
      </w:r>
    </w:p>
    <w:p w14:paraId="0ABFEEEA">
      <w:pPr>
        <w:numPr>
          <w:ilvl w:val="0"/>
          <w:numId w:val="2"/>
        </w:numPr>
        <w:bidi w:val="0"/>
        <w:ind w:left="425" w:leftChars="0" w:hanging="425" w:firstLineChars="0"/>
        <w:rPr>
          <w:highlight w:val="none"/>
        </w:rPr>
      </w:pPr>
      <w:r>
        <w:rPr>
          <w:rFonts w:hint="eastAsia"/>
          <w:highlight w:val="none"/>
          <w:lang w:val="en-US" w:eastAsia="zh-CN"/>
        </w:rPr>
        <w:t xml:space="preserve">《“十四五”现代物流发展规划》（国办发〔2022〕17 号）； </w:t>
      </w:r>
    </w:p>
    <w:p w14:paraId="179FA38A">
      <w:pPr>
        <w:numPr>
          <w:ilvl w:val="0"/>
          <w:numId w:val="2"/>
        </w:numPr>
        <w:bidi w:val="0"/>
        <w:ind w:left="425" w:leftChars="0" w:hanging="425" w:firstLineChars="0"/>
        <w:rPr>
          <w:highlight w:val="none"/>
        </w:rPr>
      </w:pPr>
      <w:r>
        <w:rPr>
          <w:rFonts w:hint="eastAsia"/>
          <w:highlight w:val="none"/>
          <w:lang w:val="en-US" w:eastAsia="zh-CN"/>
        </w:rPr>
        <w:t xml:space="preserve">《扩大内需战略规划纲要（2022-2035 年）》； </w:t>
      </w:r>
    </w:p>
    <w:p w14:paraId="1F304D71">
      <w:pPr>
        <w:numPr>
          <w:ilvl w:val="0"/>
          <w:numId w:val="2"/>
        </w:numPr>
        <w:bidi w:val="0"/>
        <w:ind w:left="425" w:leftChars="0" w:hanging="425" w:firstLineChars="0"/>
        <w:rPr>
          <w:highlight w:val="none"/>
        </w:rPr>
      </w:pPr>
      <w:r>
        <w:rPr>
          <w:rFonts w:hint="eastAsia"/>
          <w:highlight w:val="none"/>
          <w:lang w:val="en-US" w:eastAsia="zh-CN"/>
        </w:rPr>
        <w:t xml:space="preserve">《关于加快推进冷链物流运输高质量发展的实施意见》（交运发〔2022〕49 号）； </w:t>
      </w:r>
    </w:p>
    <w:p w14:paraId="6DF690AF">
      <w:pPr>
        <w:numPr>
          <w:ilvl w:val="0"/>
          <w:numId w:val="2"/>
        </w:numPr>
        <w:bidi w:val="0"/>
        <w:ind w:left="425" w:leftChars="0" w:hanging="425" w:firstLineChars="0"/>
        <w:rPr>
          <w:highlight w:val="none"/>
        </w:rPr>
      </w:pPr>
      <w:r>
        <w:rPr>
          <w:rFonts w:hint="eastAsia"/>
          <w:highlight w:val="none"/>
          <w:lang w:val="en-US" w:eastAsia="zh-CN"/>
        </w:rPr>
        <w:t xml:space="preserve">《商务部、国家邮政局等八部门关于加快贯通县乡村电子商务体系和快递物流配送体系有关工作的通知》（商流通函〔2022〕143 号）； </w:t>
      </w:r>
    </w:p>
    <w:p w14:paraId="7D0AB62C">
      <w:pPr>
        <w:numPr>
          <w:ilvl w:val="0"/>
          <w:numId w:val="2"/>
        </w:numPr>
        <w:bidi w:val="0"/>
        <w:ind w:left="425" w:leftChars="0" w:hanging="425" w:firstLineChars="0"/>
        <w:rPr>
          <w:highlight w:val="none"/>
        </w:rPr>
      </w:pPr>
      <w:r>
        <w:rPr>
          <w:rFonts w:hint="eastAsia"/>
          <w:highlight w:val="none"/>
          <w:lang w:val="en-US" w:eastAsia="zh-CN"/>
        </w:rPr>
        <w:t xml:space="preserve">《中共中央 国务院关于加快建设全国统一大市场的意见》（2022 年 4 月 10 日）； </w:t>
      </w:r>
    </w:p>
    <w:p w14:paraId="50D4FF61">
      <w:pPr>
        <w:numPr>
          <w:ilvl w:val="0"/>
          <w:numId w:val="2"/>
        </w:numPr>
        <w:bidi w:val="0"/>
        <w:ind w:left="425" w:leftChars="0" w:hanging="425" w:firstLineChars="0"/>
        <w:rPr>
          <w:highlight w:val="none"/>
        </w:rPr>
      </w:pPr>
      <w:r>
        <w:rPr>
          <w:rFonts w:hint="eastAsia"/>
          <w:highlight w:val="none"/>
          <w:lang w:val="en-US" w:eastAsia="zh-CN"/>
        </w:rPr>
        <w:t xml:space="preserve">《“十四五”现代流通体系建设规划》（发改经贸〔2022〕78 号）； </w:t>
      </w:r>
    </w:p>
    <w:p w14:paraId="75B0A693">
      <w:pPr>
        <w:numPr>
          <w:ilvl w:val="0"/>
          <w:numId w:val="2"/>
        </w:numPr>
        <w:bidi w:val="0"/>
        <w:ind w:left="425" w:leftChars="0" w:hanging="425" w:firstLineChars="0"/>
        <w:rPr>
          <w:highlight w:val="none"/>
        </w:rPr>
      </w:pPr>
      <w:r>
        <w:rPr>
          <w:rFonts w:hint="eastAsia"/>
          <w:highlight w:val="none"/>
          <w:lang w:val="en-US" w:eastAsia="zh-CN"/>
        </w:rPr>
        <w:t>《东北全面振兴“十四五”实施方案》（2021 年 9 月 13日）；</w:t>
      </w:r>
    </w:p>
    <w:p w14:paraId="221469FC">
      <w:pPr>
        <w:numPr>
          <w:ilvl w:val="0"/>
          <w:numId w:val="2"/>
        </w:numPr>
        <w:bidi w:val="0"/>
        <w:ind w:left="425" w:leftChars="0" w:hanging="425" w:firstLineChars="0"/>
        <w:rPr>
          <w:highlight w:val="none"/>
        </w:rPr>
      </w:pPr>
      <w:r>
        <w:rPr>
          <w:rFonts w:hint="eastAsia"/>
          <w:highlight w:val="none"/>
          <w:lang w:val="en-US" w:eastAsia="zh-CN"/>
        </w:rPr>
        <w:t xml:space="preserve">《商贸物流高质量发展专项行动计划（2021-2025 年）》； </w:t>
      </w:r>
    </w:p>
    <w:p w14:paraId="4B5B7D7B">
      <w:pPr>
        <w:numPr>
          <w:ilvl w:val="0"/>
          <w:numId w:val="2"/>
        </w:numPr>
        <w:bidi w:val="0"/>
        <w:ind w:left="425" w:leftChars="0" w:hanging="425" w:firstLineChars="0"/>
        <w:rPr>
          <w:highlight w:val="none"/>
        </w:rPr>
      </w:pPr>
      <w:r>
        <w:rPr>
          <w:rFonts w:hint="eastAsia"/>
          <w:highlight w:val="none"/>
          <w:lang w:val="en-US" w:eastAsia="zh-CN"/>
        </w:rPr>
        <w:t>《国务院办公厅关于加快农村寄递物流体系建设的意见》（国办发〔2021〕29 号）；</w:t>
      </w:r>
    </w:p>
    <w:p w14:paraId="44655B6E">
      <w:pPr>
        <w:numPr>
          <w:ilvl w:val="0"/>
          <w:numId w:val="2"/>
        </w:numPr>
        <w:bidi w:val="0"/>
        <w:ind w:left="425" w:leftChars="0" w:hanging="425" w:firstLineChars="0"/>
        <w:rPr>
          <w:highlight w:val="none"/>
        </w:rPr>
      </w:pPr>
      <w:r>
        <w:rPr>
          <w:rFonts w:hint="eastAsia"/>
          <w:highlight w:val="none"/>
          <w:lang w:val="en-US" w:eastAsia="zh-CN"/>
        </w:rPr>
        <w:t xml:space="preserve">《农业农村部 国家发展改革委 财政部 商务部关于实施“互联网+”农产品出村进城工程的指导意见》； </w:t>
      </w:r>
    </w:p>
    <w:p w14:paraId="4F1959FF">
      <w:pPr>
        <w:bidi w:val="0"/>
        <w:rPr>
          <w:rFonts w:hint="default"/>
          <w:b/>
          <w:bCs/>
          <w:lang w:val="en-US" w:eastAsia="zh-CN"/>
        </w:rPr>
      </w:pPr>
      <w:r>
        <w:rPr>
          <w:rFonts w:hint="eastAsia"/>
          <w:b/>
          <w:bCs/>
          <w:lang w:val="en-US" w:eastAsia="zh-CN"/>
        </w:rPr>
        <w:t>辽宁省层面：</w:t>
      </w:r>
    </w:p>
    <w:p w14:paraId="1140CAE4">
      <w:pPr>
        <w:numPr>
          <w:ilvl w:val="0"/>
          <w:numId w:val="3"/>
        </w:numPr>
        <w:bidi w:val="0"/>
        <w:ind w:left="425" w:leftChars="0" w:hanging="425" w:firstLineChars="0"/>
      </w:pPr>
      <w:r>
        <w:rPr>
          <w:rFonts w:hint="eastAsia"/>
          <w:lang w:val="en-US" w:eastAsia="zh-CN"/>
        </w:rPr>
        <w:t xml:space="preserve">《辽宁省加快推进农村寄递物流体系建设实施方案》（辽政办发〔2022〕31 号）； </w:t>
      </w:r>
    </w:p>
    <w:p w14:paraId="6046FFD1">
      <w:pPr>
        <w:numPr>
          <w:ilvl w:val="0"/>
          <w:numId w:val="3"/>
        </w:numPr>
        <w:bidi w:val="0"/>
        <w:ind w:left="425" w:leftChars="0" w:hanging="425" w:firstLineChars="0"/>
      </w:pPr>
      <w:r>
        <w:rPr>
          <w:rFonts w:hint="eastAsia"/>
          <w:lang w:val="en-US" w:eastAsia="zh-CN"/>
        </w:rPr>
        <w:t xml:space="preserve">《辽宁省冷链物流高质量发展实施方案（2022-2025 年）》（辽政办发〔2022〕45 号）； </w:t>
      </w:r>
    </w:p>
    <w:p w14:paraId="4EF68A6F">
      <w:pPr>
        <w:numPr>
          <w:ilvl w:val="0"/>
          <w:numId w:val="3"/>
        </w:numPr>
        <w:bidi w:val="0"/>
        <w:ind w:left="425" w:leftChars="0" w:hanging="425" w:firstLineChars="0"/>
      </w:pPr>
      <w:r>
        <w:rPr>
          <w:rFonts w:hint="eastAsia"/>
          <w:lang w:val="en-US" w:eastAsia="zh-CN"/>
        </w:rPr>
        <w:t xml:space="preserve">《辽宁省推进多式联运高质量发展优化调整运输结构行动方案（2022-2025 年）》（辽政办发〔2022〕42 号）； </w:t>
      </w:r>
    </w:p>
    <w:p w14:paraId="216A7853">
      <w:pPr>
        <w:numPr>
          <w:ilvl w:val="0"/>
          <w:numId w:val="3"/>
        </w:numPr>
        <w:bidi w:val="0"/>
        <w:ind w:left="425" w:leftChars="0" w:hanging="425" w:firstLineChars="0"/>
        <w:rPr>
          <w:rFonts w:hint="default"/>
          <w:lang w:val="en-US"/>
        </w:rPr>
      </w:pPr>
      <w:r>
        <w:rPr>
          <w:rFonts w:hint="eastAsia"/>
          <w:lang w:val="en-US" w:eastAsia="zh-CN"/>
        </w:rPr>
        <w:t>《辽宁省关于大力发展现代物流业的实施意见》（辽政发〔2018〕30 号）；</w:t>
      </w:r>
    </w:p>
    <w:p w14:paraId="03A0B864">
      <w:pPr>
        <w:numPr>
          <w:ilvl w:val="0"/>
          <w:numId w:val="3"/>
        </w:numPr>
        <w:bidi w:val="0"/>
        <w:ind w:left="425" w:leftChars="0" w:hanging="425" w:firstLineChars="0"/>
        <w:rPr>
          <w:rFonts w:hint="default"/>
          <w:highlight w:val="none"/>
          <w:lang w:val="en-US"/>
        </w:rPr>
      </w:pPr>
      <w:r>
        <w:rPr>
          <w:rFonts w:hint="default"/>
          <w:highlight w:val="none"/>
          <w:lang w:val="en-US"/>
        </w:rPr>
        <w:t>《阜新市构建现代物流体系攻坚行动方案》</w:t>
      </w:r>
    </w:p>
    <w:p w14:paraId="562103BB">
      <w:pPr>
        <w:numPr>
          <w:ilvl w:val="0"/>
          <w:numId w:val="3"/>
        </w:numPr>
        <w:ind w:left="425" w:leftChars="0" w:hanging="425" w:firstLineChars="0"/>
        <w:rPr>
          <w:rFonts w:hint="default"/>
          <w:highlight w:val="none"/>
          <w:lang w:val="en-US"/>
        </w:rPr>
      </w:pPr>
      <w:r>
        <w:rPr>
          <w:rFonts w:hint="eastAsia"/>
          <w:highlight w:val="none"/>
          <w:lang w:val="en-US" w:eastAsia="zh-CN"/>
        </w:rPr>
        <w:t>《彰武县关于提升铁路场站能力、打造彰武县硅砂产业综合物流基地的函》</w:t>
      </w:r>
    </w:p>
    <w:p w14:paraId="156426BB">
      <w:pPr>
        <w:numPr>
          <w:ilvl w:val="0"/>
          <w:numId w:val="3"/>
        </w:numPr>
        <w:bidi w:val="0"/>
        <w:ind w:left="425" w:leftChars="0" w:hanging="425" w:firstLineChars="0"/>
        <w:rPr>
          <w:highlight w:val="none"/>
        </w:rPr>
      </w:pPr>
      <w:r>
        <w:rPr>
          <w:highlight w:val="none"/>
          <w:lang w:val="en-US" w:eastAsia="zh-CN"/>
        </w:rPr>
        <w:t>《</w:t>
      </w:r>
      <w:r>
        <w:rPr>
          <w:rFonts w:hint="eastAsia"/>
          <w:highlight w:val="none"/>
          <w:lang w:val="en-US" w:eastAsia="zh-CN"/>
        </w:rPr>
        <w:t>彰武县</w:t>
      </w:r>
      <w:r>
        <w:rPr>
          <w:highlight w:val="none"/>
          <w:lang w:val="en-US" w:eastAsia="zh-CN"/>
        </w:rPr>
        <w:t>国土空间总体规划（2021-2035 年）》；</w:t>
      </w:r>
    </w:p>
    <w:p w14:paraId="4B093AF6">
      <w:pPr>
        <w:numPr>
          <w:ilvl w:val="0"/>
          <w:numId w:val="3"/>
        </w:numPr>
        <w:ind w:left="425" w:leftChars="0" w:hanging="425" w:firstLineChars="0"/>
        <w:rPr>
          <w:rFonts w:hint="eastAsia"/>
          <w:highlight w:val="none"/>
          <w:lang w:val="en-US" w:eastAsia="zh-CN"/>
        </w:rPr>
      </w:pPr>
      <w:r>
        <w:rPr>
          <w:rFonts w:hint="eastAsia"/>
          <w:highlight w:val="none"/>
          <w:lang w:val="en-US" w:eastAsia="zh-CN"/>
        </w:rPr>
        <w:t>《彰武县国民经济和社会发展第十四个五年规划和2035 年远景目标纲要》</w:t>
      </w:r>
    </w:p>
    <w:p w14:paraId="66594996">
      <w:pPr>
        <w:numPr>
          <w:ilvl w:val="0"/>
          <w:numId w:val="3"/>
        </w:numPr>
        <w:bidi w:val="0"/>
        <w:ind w:left="425" w:leftChars="0" w:hanging="425" w:firstLineChars="0"/>
        <w:rPr>
          <w:highlight w:val="none"/>
        </w:rPr>
      </w:pPr>
      <w:r>
        <w:rPr>
          <w:highlight w:val="none"/>
          <w:lang w:val="en-US" w:eastAsia="zh-CN"/>
        </w:rPr>
        <w:t>国家、省、市相关</w:t>
      </w:r>
      <w:r>
        <w:rPr>
          <w:rFonts w:hint="eastAsia"/>
          <w:highlight w:val="none"/>
          <w:lang w:val="en-US" w:eastAsia="zh-CN"/>
        </w:rPr>
        <w:t>法律法规</w:t>
      </w:r>
      <w:r>
        <w:rPr>
          <w:highlight w:val="none"/>
          <w:lang w:val="en-US" w:eastAsia="zh-CN"/>
        </w:rPr>
        <w:t xml:space="preserve">与其他相关规划； </w:t>
      </w:r>
    </w:p>
    <w:p w14:paraId="2CA8348F">
      <w:pPr>
        <w:numPr>
          <w:ilvl w:val="0"/>
          <w:numId w:val="3"/>
        </w:numPr>
        <w:bidi w:val="0"/>
        <w:ind w:left="425" w:leftChars="0" w:hanging="425" w:firstLineChars="0"/>
        <w:rPr>
          <w:rFonts w:hint="eastAsia"/>
          <w:highlight w:val="none"/>
          <w:lang w:val="en-US" w:eastAsia="zh-CN"/>
        </w:rPr>
      </w:pPr>
      <w:r>
        <w:rPr>
          <w:rFonts w:hint="eastAsia"/>
          <w:highlight w:val="none"/>
          <w:lang w:val="en-US" w:eastAsia="zh-CN"/>
        </w:rPr>
        <w:t>国务院、省委、省政府、市委、市政府、县委、县政府关于彰武县发展的相关要求及政策文件。</w:t>
      </w:r>
    </w:p>
    <w:p w14:paraId="15B7ED0C">
      <w:pPr>
        <w:pStyle w:val="3"/>
        <w:bidi w:val="0"/>
        <w:rPr>
          <w:rFonts w:hint="default"/>
          <w:highlight w:val="none"/>
          <w:lang w:val="en-US" w:eastAsia="zh-CN"/>
        </w:rPr>
      </w:pPr>
      <w:bookmarkStart w:id="21" w:name="_Toc15041"/>
      <w:bookmarkStart w:id="22" w:name="_Toc19989"/>
      <w:bookmarkStart w:id="23" w:name="_Toc11047"/>
      <w:r>
        <w:rPr>
          <w:rFonts w:hint="eastAsia"/>
          <w:highlight w:val="none"/>
          <w:lang w:val="en-US" w:eastAsia="zh-CN"/>
        </w:rPr>
        <w:t>技术路线</w:t>
      </w:r>
      <w:bookmarkEnd w:id="21"/>
      <w:bookmarkEnd w:id="22"/>
      <w:bookmarkEnd w:id="23"/>
    </w:p>
    <w:p w14:paraId="03A938B6">
      <w:pPr>
        <w:pStyle w:val="4"/>
        <w:bidi w:val="0"/>
        <w:rPr>
          <w:rFonts w:hint="default"/>
          <w:highlight w:val="none"/>
          <w:lang w:val="en-US" w:eastAsia="zh-CN"/>
        </w:rPr>
      </w:pPr>
      <w:bookmarkStart w:id="24" w:name="_Toc25724"/>
      <w:r>
        <w:rPr>
          <w:rFonts w:hint="eastAsia"/>
          <w:highlight w:val="none"/>
          <w:lang w:val="en-US" w:eastAsia="zh-CN"/>
        </w:rPr>
        <w:t>创新物流发展模式</w:t>
      </w:r>
      <w:bookmarkEnd w:id="24"/>
    </w:p>
    <w:p w14:paraId="568DE9C7">
      <w:pPr>
        <w:bidi w:val="0"/>
        <w:rPr>
          <w:rFonts w:hint="eastAsia"/>
          <w:highlight w:val="none"/>
          <w:lang w:val="en-US" w:eastAsia="zh-CN"/>
        </w:rPr>
      </w:pPr>
      <w:r>
        <w:rPr>
          <w:rFonts w:hint="eastAsia"/>
          <w:highlight w:val="none"/>
          <w:lang w:val="en-US" w:eastAsia="zh-CN"/>
        </w:rPr>
        <w:t>通过联动发展、融合发展，壮大产业集群，加速催生物流需求，实现现代物流业的跨越发展。</w:t>
      </w:r>
    </w:p>
    <w:p w14:paraId="6ADFF6B4">
      <w:pPr>
        <w:pStyle w:val="4"/>
        <w:bidi w:val="0"/>
        <w:rPr>
          <w:rFonts w:hint="eastAsia"/>
          <w:highlight w:val="none"/>
          <w:lang w:val="en-US" w:eastAsia="zh-CN"/>
        </w:rPr>
      </w:pPr>
      <w:bookmarkStart w:id="25" w:name="_Toc5860"/>
      <w:r>
        <w:rPr>
          <w:rFonts w:hint="eastAsia"/>
          <w:highlight w:val="none"/>
          <w:lang w:val="en-US" w:eastAsia="zh-CN"/>
        </w:rPr>
        <w:t>培育为主、增量拓展</w:t>
      </w:r>
      <w:bookmarkEnd w:id="25"/>
    </w:p>
    <w:p w14:paraId="3682C85E">
      <w:pPr>
        <w:bidi w:val="0"/>
        <w:rPr>
          <w:b/>
          <w:bCs/>
          <w:highlight w:val="none"/>
        </w:rPr>
      </w:pPr>
      <w:r>
        <w:rPr>
          <w:rFonts w:hint="eastAsia"/>
          <w:b/>
          <w:bCs/>
          <w:highlight w:val="none"/>
          <w:lang w:val="en-US" w:eastAsia="zh-CN"/>
        </w:rPr>
        <w:t>（1）培育为主</w:t>
      </w:r>
    </w:p>
    <w:p w14:paraId="5E134D08">
      <w:pPr>
        <w:bidi w:val="0"/>
        <w:rPr>
          <w:highlight w:val="none"/>
        </w:rPr>
      </w:pPr>
      <w:r>
        <w:rPr>
          <w:rFonts w:hint="eastAsia"/>
          <w:highlight w:val="none"/>
          <w:lang w:val="en-US" w:eastAsia="zh-CN"/>
        </w:rPr>
        <w:t xml:space="preserve">彰武县的物流业需要依靠物流发展环境的营造吸引产业集聚，通过产业集聚培育物流市场需求，从而实现物流与产业相互促进、滚动发展。鉴于彰武县目前物流产业发展水平总体不高的客观实际，未来彰武县物流业的发展，必须遵循培育发展的核心理念，逐步推进物流产业、服务市场、物流企业发展与壮大，构建彰武县现代物流产业扩张发展的基础。一方面，着力培育具有现实发展基础、长远发展潜力的企业，并重点扶持对关联产业具有核心驱动力的重点领域和发展模式，以此为突破带动整个物流系统乃至经济社会系统的升级与进步；另一方面，要积极培育符合经济和产业发展要求的物流业态，重点通过物流资源要素的整合、聚集与优化配置，为关联产业营造一个能够快速形成规模经济、范围经济效应的物流环境，全面支撑、保障和带动城市乃至区域经济的健康发展；再一方面，在构建和完善物流市场的基础上，重点培育符合经济和产业发展要求、能够真正提供供应链一体化服务的物流企业，切实提升区域物流服务的整体能级与发展水平。 </w:t>
      </w:r>
    </w:p>
    <w:p w14:paraId="4901A327">
      <w:pPr>
        <w:bidi w:val="0"/>
        <w:rPr>
          <w:b/>
          <w:bCs/>
          <w:highlight w:val="none"/>
        </w:rPr>
      </w:pPr>
      <w:r>
        <w:rPr>
          <w:rFonts w:hint="eastAsia"/>
          <w:b/>
          <w:bCs/>
          <w:highlight w:val="none"/>
          <w:lang w:val="en-US" w:eastAsia="zh-CN"/>
        </w:rPr>
        <w:t>（2）增量拓展</w:t>
      </w:r>
    </w:p>
    <w:p w14:paraId="30E101EF">
      <w:pPr>
        <w:bidi w:val="0"/>
        <w:rPr>
          <w:rFonts w:hint="eastAsia"/>
          <w:highlight w:val="none"/>
          <w:lang w:val="en-US" w:eastAsia="zh-CN"/>
        </w:rPr>
      </w:pPr>
      <w:r>
        <w:rPr>
          <w:rFonts w:hint="eastAsia"/>
          <w:highlight w:val="none"/>
          <w:lang w:val="en-US" w:eastAsia="zh-CN"/>
        </w:rPr>
        <w:t>彰武县现代物流业的发展要实现空间范围与产业链上下游两个维度的拓展，从而创造“增量”物流需求，实现跨越式发展。要实现彰武县未来城市物流产业的整体提升，成为引领经济进步重要引擎的战略目标，除了要强化物流需求既有存量的整合与优化外，更为关键的是积极拓展物流增量需求。一方面，要拓宽物流服务的空间范围，重点通过更广区域层面物流资源与要素的聚集，吸引辽宁、蒙东地区、京津冀乃至更广范围的物流需求，为彰武县现代物流业提供广阔的市场空间；另一方面，要拓展物流服务的产业领域，重点在产业层面的融合与联动（包括制造业、商贸业等），依托现代技术手段和发展模式（如电子商务等），创造并引发新的物流发展需求，全面支撑并引领彰武县现代物流业的升级与壮大。</w:t>
      </w:r>
    </w:p>
    <w:p w14:paraId="3CCD6379">
      <w:pPr>
        <w:pStyle w:val="4"/>
        <w:bidi w:val="0"/>
        <w:rPr>
          <w:rFonts w:hint="default"/>
          <w:highlight w:val="none"/>
          <w:lang w:val="en-US" w:eastAsia="zh-CN"/>
        </w:rPr>
      </w:pPr>
      <w:bookmarkStart w:id="26" w:name="_Toc29221"/>
      <w:r>
        <w:rPr>
          <w:rFonts w:hint="eastAsia"/>
          <w:highlight w:val="none"/>
          <w:lang w:val="en-US" w:eastAsia="zh-CN"/>
        </w:rPr>
        <w:t>技术思路</w:t>
      </w:r>
      <w:bookmarkEnd w:id="26"/>
    </w:p>
    <w:p w14:paraId="5F7117F1">
      <w:pPr>
        <w:bidi w:val="0"/>
        <w:rPr>
          <w:highlight w:val="none"/>
        </w:rPr>
      </w:pPr>
      <w:r>
        <w:rPr>
          <w:rFonts w:hint="eastAsia"/>
          <w:highlight w:val="none"/>
          <w:lang w:val="en-US" w:eastAsia="zh-CN"/>
        </w:rPr>
        <w:t>基于彰武县的现状条件和独特优势，遵照国家战略、省部战略和阜新战略要求，抢抓发展机遇，创新发展思路，构建现代物流发展体系。通过产业集聚培育物流市场需求，构建彰武县现代物流业扩张发展的基础，通过拓宽物流服务的空间范围和产业领域，创造引发新兴物流需求，全面支撑并引领彰武县物流业的升级与壮大。</w:t>
      </w:r>
    </w:p>
    <w:p w14:paraId="5D27DE1C">
      <w:pPr>
        <w:keepNext w:val="0"/>
        <w:keepLines w:val="0"/>
        <w:widowControl/>
        <w:suppressLineNumbers w:val="0"/>
        <w:ind w:left="0" w:leftChars="0" w:firstLine="0" w:firstLineChars="0"/>
        <w:jc w:val="left"/>
        <w:rPr>
          <w:highlight w:val="none"/>
        </w:rPr>
      </w:pPr>
      <w:r>
        <w:rPr>
          <w:highlight w:val="none"/>
        </w:rPr>
        <w:drawing>
          <wp:inline distT="0" distB="0" distL="114300" distR="114300">
            <wp:extent cx="5271770" cy="3164840"/>
            <wp:effectExtent l="0" t="0" r="5080" b="1651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8"/>
                    <a:stretch>
                      <a:fillRect/>
                    </a:stretch>
                  </pic:blipFill>
                  <pic:spPr>
                    <a:xfrm>
                      <a:off x="0" y="0"/>
                      <a:ext cx="5271770" cy="3164840"/>
                    </a:xfrm>
                    <a:prstGeom prst="rect">
                      <a:avLst/>
                    </a:prstGeom>
                    <a:noFill/>
                    <a:ln>
                      <a:noFill/>
                    </a:ln>
                  </pic:spPr>
                </pic:pic>
              </a:graphicData>
            </a:graphic>
          </wp:inline>
        </w:drawing>
      </w:r>
    </w:p>
    <w:p w14:paraId="5F0D264F">
      <w:pPr>
        <w:pStyle w:val="11"/>
        <w:bidi w:val="0"/>
        <w:rPr>
          <w:rFonts w:hint="eastAsia"/>
          <w:lang w:val="en-US" w:eastAsia="zh-CN"/>
        </w:rPr>
      </w:pPr>
      <w:r>
        <w:t xml:space="preserve">图 </w:t>
      </w:r>
      <w:r>
        <w:fldChar w:fldCharType="begin"/>
      </w:r>
      <w:r>
        <w:instrText xml:space="preserve"> STYLEREF 1 \s </w:instrText>
      </w:r>
      <w:r>
        <w:fldChar w:fldCharType="separate"/>
      </w:r>
      <w:r>
        <w:t>1</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技术路线图</w:t>
      </w:r>
    </w:p>
    <w:p w14:paraId="780D86CA">
      <w:pPr>
        <w:keepNext w:val="0"/>
        <w:keepLines w:val="0"/>
        <w:widowControl/>
        <w:suppressLineNumbers w:val="0"/>
        <w:ind w:left="0" w:leftChars="0" w:firstLine="0" w:firstLineChars="0"/>
        <w:jc w:val="left"/>
        <w:rPr>
          <w:highlight w:val="none"/>
        </w:rPr>
      </w:pPr>
    </w:p>
    <w:p w14:paraId="364348E8">
      <w:pPr>
        <w:rPr>
          <w:highlight w:val="none"/>
        </w:rPr>
      </w:pPr>
      <w:r>
        <w:rPr>
          <w:highlight w:val="none"/>
        </w:rPr>
        <w:br w:type="page"/>
      </w:r>
    </w:p>
    <w:p w14:paraId="2C208F6E">
      <w:pPr>
        <w:pStyle w:val="2"/>
        <w:bidi w:val="0"/>
        <w:rPr>
          <w:rFonts w:hint="eastAsia"/>
          <w:highlight w:val="none"/>
          <w:lang w:val="en-US" w:eastAsia="zh-CN"/>
        </w:rPr>
      </w:pPr>
      <w:bookmarkStart w:id="27" w:name="_Toc8167"/>
      <w:bookmarkStart w:id="28" w:name="_Toc15399"/>
      <w:bookmarkStart w:id="29" w:name="_Toc17998"/>
      <w:r>
        <w:rPr>
          <w:rFonts w:hint="eastAsia"/>
          <w:highlight w:val="none"/>
          <w:lang w:val="en-US" w:eastAsia="zh-CN"/>
        </w:rPr>
        <w:t>发展环境</w:t>
      </w:r>
      <w:bookmarkEnd w:id="27"/>
      <w:bookmarkEnd w:id="28"/>
      <w:bookmarkEnd w:id="29"/>
    </w:p>
    <w:p w14:paraId="2E3F46F9">
      <w:pPr>
        <w:pStyle w:val="3"/>
        <w:bidi w:val="0"/>
        <w:rPr>
          <w:rFonts w:hint="eastAsia"/>
          <w:highlight w:val="none"/>
          <w:lang w:val="en-US" w:eastAsia="zh-CN"/>
        </w:rPr>
      </w:pPr>
      <w:bookmarkStart w:id="30" w:name="_Toc21315"/>
      <w:bookmarkStart w:id="31" w:name="_Toc14270"/>
      <w:bookmarkStart w:id="32" w:name="_Toc15859"/>
      <w:r>
        <w:rPr>
          <w:rFonts w:hint="eastAsia"/>
          <w:highlight w:val="none"/>
          <w:lang w:val="en-US" w:eastAsia="zh-CN"/>
        </w:rPr>
        <w:t>发展基础</w:t>
      </w:r>
      <w:bookmarkEnd w:id="30"/>
      <w:bookmarkEnd w:id="31"/>
      <w:bookmarkEnd w:id="32"/>
    </w:p>
    <w:p w14:paraId="16FD373C">
      <w:pPr>
        <w:bidi w:val="0"/>
        <w:rPr>
          <w:rFonts w:hint="eastAsia"/>
          <w:highlight w:val="none"/>
        </w:rPr>
      </w:pPr>
      <w:r>
        <w:rPr>
          <w:rFonts w:hint="eastAsia"/>
          <w:highlight w:val="none"/>
        </w:rPr>
        <w:t>提升城市物流产业发展质量和水平，需要具备较好的区位条件和物流产业发展基础。</w:t>
      </w:r>
      <w:r>
        <w:rPr>
          <w:rFonts w:hint="eastAsia"/>
          <w:highlight w:val="none"/>
          <w:lang w:val="en-US" w:eastAsia="zh-CN"/>
        </w:rPr>
        <w:t>彰武</w:t>
      </w:r>
      <w:r>
        <w:rPr>
          <w:rFonts w:hint="eastAsia"/>
          <w:highlight w:val="none"/>
        </w:rPr>
        <w:t>在“一带一路”</w:t>
      </w:r>
      <w:r>
        <w:rPr>
          <w:rFonts w:hint="eastAsia"/>
          <w:highlight w:val="none"/>
          <w:lang w:eastAsia="zh-CN"/>
        </w:rPr>
        <w:t>倡议</w:t>
      </w:r>
      <w:r>
        <w:rPr>
          <w:rFonts w:hint="eastAsia"/>
          <w:highlight w:val="none"/>
        </w:rPr>
        <w:t>内陆地区经济对外延伸扩大开放，以及在新一轮</w:t>
      </w:r>
      <w:r>
        <w:rPr>
          <w:rFonts w:hint="eastAsia"/>
          <w:highlight w:val="none"/>
          <w:lang w:val="en-US" w:eastAsia="zh-CN"/>
        </w:rPr>
        <w:t>沈阳都市圈</w:t>
      </w:r>
      <w:r>
        <w:rPr>
          <w:rFonts w:hint="eastAsia"/>
          <w:highlight w:val="none"/>
        </w:rPr>
        <w:t>经济结构调整与空间布局中，均具有举足轻重的作用，地理区位和战略区位优势突出。近年来，</w:t>
      </w:r>
      <w:r>
        <w:rPr>
          <w:rFonts w:hint="eastAsia"/>
          <w:highlight w:val="none"/>
          <w:lang w:eastAsia="zh-CN"/>
        </w:rPr>
        <w:t>彰武县</w:t>
      </w:r>
      <w:r>
        <w:rPr>
          <w:rFonts w:hint="eastAsia"/>
          <w:highlight w:val="none"/>
        </w:rPr>
        <w:t>现代物流业</w:t>
      </w:r>
      <w:r>
        <w:rPr>
          <w:rFonts w:hint="eastAsia"/>
          <w:highlight w:val="none"/>
          <w:lang w:val="en-US" w:eastAsia="zh-CN"/>
        </w:rPr>
        <w:t>需求</w:t>
      </w:r>
      <w:r>
        <w:rPr>
          <w:rFonts w:hint="eastAsia"/>
          <w:highlight w:val="none"/>
        </w:rPr>
        <w:t>快速发展，物流通道不断拓展，业态模式不断丰富，</w:t>
      </w:r>
      <w:r>
        <w:rPr>
          <w:rFonts w:hint="eastAsia"/>
          <w:highlight w:val="none"/>
          <w:lang w:val="en-US" w:eastAsia="zh-CN"/>
        </w:rPr>
        <w:t>但缺少相对应物流配套体系，</w:t>
      </w:r>
      <w:r>
        <w:rPr>
          <w:rFonts w:hint="eastAsia"/>
          <w:highlight w:val="none"/>
        </w:rPr>
        <w:t>初步形成以</w:t>
      </w:r>
      <w:r>
        <w:rPr>
          <w:rFonts w:hint="eastAsia"/>
          <w:highlight w:val="none"/>
          <w:lang w:val="en-US" w:eastAsia="zh-CN"/>
        </w:rPr>
        <w:t>公路</w:t>
      </w:r>
      <w:r>
        <w:rPr>
          <w:rFonts w:hint="eastAsia"/>
          <w:highlight w:val="none"/>
        </w:rPr>
        <w:t>为依托，电商物流特色鲜明的物流服务</w:t>
      </w:r>
      <w:r>
        <w:rPr>
          <w:rFonts w:hint="eastAsia"/>
          <w:highlight w:val="none"/>
          <w:lang w:val="en-US" w:eastAsia="zh-CN"/>
        </w:rPr>
        <w:t>特色</w:t>
      </w:r>
      <w:r>
        <w:rPr>
          <w:rFonts w:hint="eastAsia"/>
          <w:highlight w:val="none"/>
          <w:lang w:eastAsia="zh-CN"/>
        </w:rPr>
        <w:t>。</w:t>
      </w:r>
    </w:p>
    <w:p w14:paraId="14F5F132">
      <w:pPr>
        <w:pStyle w:val="4"/>
        <w:bidi w:val="0"/>
        <w:rPr>
          <w:rFonts w:hint="default"/>
          <w:highlight w:val="none"/>
          <w:lang w:val="en-US" w:eastAsia="zh-CN"/>
        </w:rPr>
      </w:pPr>
      <w:bookmarkStart w:id="33" w:name="_Toc20924"/>
      <w:r>
        <w:rPr>
          <w:rFonts w:hint="eastAsia"/>
          <w:highlight w:val="none"/>
        </w:rPr>
        <w:t>区位优势突出，发展物流得天独厚</w:t>
      </w:r>
      <w:bookmarkEnd w:id="33"/>
    </w:p>
    <w:p w14:paraId="38096B05">
      <w:pPr>
        <w:bidi w:val="0"/>
        <w:rPr>
          <w:rFonts w:hint="eastAsia"/>
          <w:highlight w:val="none"/>
          <w:lang w:val="en-US" w:eastAsia="zh-CN"/>
        </w:rPr>
      </w:pPr>
      <w:r>
        <w:rPr>
          <w:rFonts w:hint="default"/>
          <w:highlight w:val="none"/>
          <w:lang w:val="en-US" w:eastAsia="zh-CN"/>
        </w:rPr>
        <w:t>彰武县都处在沈阳现代化都市圈的强辐射下</w:t>
      </w:r>
      <w:r>
        <w:rPr>
          <w:rFonts w:hint="eastAsia"/>
          <w:highlight w:val="none"/>
          <w:lang w:val="en-US" w:eastAsia="zh-CN"/>
        </w:rPr>
        <w:t>，</w:t>
      </w:r>
      <w:r>
        <w:rPr>
          <w:rFonts w:hint="default"/>
          <w:highlight w:val="none"/>
          <w:lang w:val="en-US" w:eastAsia="zh-CN"/>
        </w:rPr>
        <w:t>从区域产业链分工体系的角度看，彰武县与沈阳及周边城市产业结构匹配度较高，沿新鲁高速与沈阳现代化都市圈紧密联系</w:t>
      </w:r>
      <w:r>
        <w:rPr>
          <w:rFonts w:hint="eastAsia"/>
          <w:highlight w:val="none"/>
          <w:lang w:val="en-US" w:eastAsia="zh-CN"/>
        </w:rPr>
        <w:t>，北靠通辽打通中俄蒙通道。</w:t>
      </w:r>
    </w:p>
    <w:p w14:paraId="39415261">
      <w:pPr>
        <w:bidi w:val="0"/>
        <w:rPr>
          <w:rFonts w:hint="default"/>
          <w:highlight w:val="none"/>
          <w:lang w:val="en-US" w:eastAsia="zh-CN"/>
        </w:rPr>
      </w:pPr>
      <w:r>
        <w:rPr>
          <w:rFonts w:hint="default"/>
          <w:b/>
          <w:bCs/>
          <w:highlight w:val="none"/>
          <w:lang w:val="en-US" w:eastAsia="zh-CN"/>
        </w:rPr>
        <w:t>公路：</w:t>
      </w:r>
      <w:r>
        <w:rPr>
          <w:rFonts w:hint="default"/>
          <w:highlight w:val="none"/>
          <w:lang w:val="en-US" w:eastAsia="zh-CN"/>
        </w:rPr>
        <w:t>国道101线、304线和505线贯通全境，长深高速和沈通高速在城南交汇，沈彰（沈阳</w:t>
      </w:r>
      <w:r>
        <w:rPr>
          <w:rFonts w:hint="eastAsia"/>
          <w:highlight w:val="none"/>
          <w:lang w:val="en-US" w:eastAsia="zh-CN"/>
        </w:rPr>
        <w:t>－</w:t>
      </w:r>
      <w:r>
        <w:rPr>
          <w:rFonts w:hint="default"/>
          <w:highlight w:val="none"/>
          <w:lang w:val="en-US" w:eastAsia="zh-CN"/>
        </w:rPr>
        <w:t>彰武）开发大道双向带动。</w:t>
      </w:r>
    </w:p>
    <w:p w14:paraId="1EABB548">
      <w:pPr>
        <w:bidi w:val="0"/>
        <w:rPr>
          <w:rFonts w:hint="default"/>
          <w:highlight w:val="none"/>
          <w:lang w:val="en-US" w:eastAsia="zh-CN"/>
        </w:rPr>
      </w:pPr>
      <w:r>
        <w:rPr>
          <w:rFonts w:hint="default"/>
          <w:b/>
          <w:bCs/>
          <w:highlight w:val="none"/>
          <w:lang w:val="en-US" w:eastAsia="zh-CN"/>
        </w:rPr>
        <w:t>铁路：</w:t>
      </w:r>
      <w:r>
        <w:rPr>
          <w:rFonts w:hint="default"/>
          <w:highlight w:val="none"/>
          <w:lang w:val="en-US" w:eastAsia="zh-CN"/>
        </w:rPr>
        <w:t>大郑铁路贯穿南北；通辽连接京沈客专让彰武全面进入高铁时代。</w:t>
      </w:r>
    </w:p>
    <w:p w14:paraId="71EE745C">
      <w:pPr>
        <w:bidi w:val="0"/>
        <w:rPr>
          <w:rFonts w:hint="default"/>
          <w:highlight w:val="none"/>
          <w:lang w:val="en-US" w:eastAsia="zh-CN"/>
        </w:rPr>
      </w:pPr>
      <w:r>
        <w:rPr>
          <w:rFonts w:hint="default"/>
          <w:b/>
          <w:bCs/>
          <w:highlight w:val="none"/>
          <w:lang w:val="en-US" w:eastAsia="zh-CN"/>
        </w:rPr>
        <w:t>航空：</w:t>
      </w:r>
      <w:r>
        <w:rPr>
          <w:rFonts w:hint="default"/>
          <w:highlight w:val="none"/>
          <w:lang w:val="en-US" w:eastAsia="zh-CN"/>
        </w:rPr>
        <w:t>距离东北最大的航空港--沈阳桃仙机场135公里，90分钟车程，距离通辽机场150公里。</w:t>
      </w:r>
    </w:p>
    <w:p w14:paraId="1CE1967D">
      <w:pPr>
        <w:bidi w:val="0"/>
        <w:rPr>
          <w:rFonts w:hint="default"/>
          <w:highlight w:val="none"/>
          <w:lang w:val="en-US" w:eastAsia="zh-CN"/>
        </w:rPr>
      </w:pPr>
      <w:r>
        <w:rPr>
          <w:rFonts w:hint="default"/>
          <w:b/>
          <w:bCs/>
          <w:highlight w:val="none"/>
          <w:lang w:val="en-US" w:eastAsia="zh-CN"/>
        </w:rPr>
        <w:t>港口：</w:t>
      </w:r>
      <w:r>
        <w:rPr>
          <w:rFonts w:hint="default"/>
          <w:highlight w:val="none"/>
          <w:lang w:val="en-US" w:eastAsia="zh-CN"/>
        </w:rPr>
        <w:t>位于环渤海经济圈重要城市沈阳的西北部，周边港口环抱。距离大连港400公里，营口港270公里、锦州港220公里，货物经各港可直接进出口。</w:t>
      </w:r>
    </w:p>
    <w:p w14:paraId="4835D255">
      <w:pPr>
        <w:rPr>
          <w:rFonts w:hint="eastAsia"/>
          <w:highlight w:val="none"/>
          <w:lang w:val="en-US" w:eastAsia="zh-CN"/>
        </w:rPr>
      </w:pPr>
      <w:r>
        <w:rPr>
          <w:rFonts w:hint="default"/>
          <w:b/>
          <w:bCs/>
          <w:highlight w:val="none"/>
          <w:lang w:val="en-US" w:eastAsia="zh-CN"/>
        </w:rPr>
        <w:t>内陆港：</w:t>
      </w:r>
      <w:r>
        <w:rPr>
          <w:rFonts w:hint="default"/>
          <w:highlight w:val="none"/>
          <w:lang w:val="en-US" w:eastAsia="zh-CN"/>
        </w:rPr>
        <w:t>“硅砂内陆港”作为“通满欧”国际班列的节点，以“一带一路”</w:t>
      </w:r>
      <w:r>
        <w:rPr>
          <w:rFonts w:hint="eastAsia"/>
          <w:highlight w:val="none"/>
          <w:lang w:val="en-US" w:eastAsia="zh-CN"/>
        </w:rPr>
        <w:t>倡议</w:t>
      </w:r>
      <w:r>
        <w:rPr>
          <w:rFonts w:hint="default"/>
          <w:highlight w:val="none"/>
          <w:lang w:val="en-US" w:eastAsia="zh-CN"/>
        </w:rPr>
        <w:t>支线的形式连接整个东北亚地区的物流网，为企业提供运力保障</w:t>
      </w:r>
      <w:r>
        <w:rPr>
          <w:rFonts w:hint="eastAsia"/>
          <w:highlight w:val="none"/>
          <w:lang w:val="en-US" w:eastAsia="zh-CN"/>
        </w:rPr>
        <w:t>。</w:t>
      </w:r>
    </w:p>
    <w:p w14:paraId="3BE5E55F">
      <w:pPr>
        <w:ind w:left="0" w:leftChars="0" w:firstLine="0" w:firstLineChars="0"/>
        <w:jc w:val="center"/>
        <w:rPr>
          <w:highlight w:val="none"/>
        </w:rPr>
      </w:pPr>
      <w:r>
        <w:rPr>
          <w:highlight w:val="none"/>
        </w:rPr>
        <w:drawing>
          <wp:inline distT="0" distB="0" distL="114300" distR="114300">
            <wp:extent cx="4493895" cy="3220085"/>
            <wp:effectExtent l="0" t="0" r="1905" b="184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9"/>
                    <a:stretch>
                      <a:fillRect/>
                    </a:stretch>
                  </pic:blipFill>
                  <pic:spPr>
                    <a:xfrm>
                      <a:off x="0" y="0"/>
                      <a:ext cx="4493895" cy="3220085"/>
                    </a:xfrm>
                    <a:prstGeom prst="rect">
                      <a:avLst/>
                    </a:prstGeom>
                    <a:noFill/>
                    <a:ln>
                      <a:noFill/>
                    </a:ln>
                  </pic:spPr>
                </pic:pic>
              </a:graphicData>
            </a:graphic>
          </wp:inline>
        </w:drawing>
      </w:r>
    </w:p>
    <w:p w14:paraId="26967EA4">
      <w:pPr>
        <w:pStyle w:val="11"/>
        <w:bidi w:val="0"/>
        <w:jc w:val="center"/>
        <w:rPr>
          <w:rFonts w:hint="eastAsia"/>
          <w:highlight w:val="none"/>
          <w:lang w:val="en-US"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区域交通网络图</w:t>
      </w:r>
    </w:p>
    <w:p w14:paraId="1DD98FF3">
      <w:pPr>
        <w:pStyle w:val="24"/>
        <w:bidi w:val="0"/>
        <w:jc w:val="center"/>
        <w:rPr>
          <w:highlight w:val="none"/>
        </w:rPr>
      </w:pPr>
      <w:r>
        <w:rPr>
          <w:highlight w:val="none"/>
        </w:rPr>
        <w:drawing>
          <wp:inline distT="0" distB="0" distL="114300" distR="114300">
            <wp:extent cx="3747135" cy="3502025"/>
            <wp:effectExtent l="0" t="0" r="5715" b="317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stretch>
                      <a:fillRect/>
                    </a:stretch>
                  </pic:blipFill>
                  <pic:spPr>
                    <a:xfrm>
                      <a:off x="0" y="0"/>
                      <a:ext cx="3747135" cy="3502025"/>
                    </a:xfrm>
                    <a:prstGeom prst="rect">
                      <a:avLst/>
                    </a:prstGeom>
                  </pic:spPr>
                </pic:pic>
              </a:graphicData>
            </a:graphic>
          </wp:inline>
        </w:drawing>
      </w:r>
    </w:p>
    <w:p w14:paraId="2A49530A">
      <w:pPr>
        <w:pStyle w:val="11"/>
        <w:bidi w:val="0"/>
        <w:jc w:val="center"/>
        <w:rPr>
          <w:highlight w:val="none"/>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rPr>
          <w:rFonts w:hint="eastAsia"/>
          <w:lang w:eastAsia="zh-CN"/>
        </w:rPr>
        <w:t xml:space="preserve"> </w:t>
      </w:r>
      <w:r>
        <w:rPr>
          <w:rFonts w:hint="eastAsia"/>
          <w:highlight w:val="none"/>
          <w:lang w:val="en-US" w:eastAsia="zh-CN"/>
        </w:rPr>
        <w:t>辽宁发展格局图</w:t>
      </w:r>
      <w:r>
        <w:rPr>
          <w:highlight w:val="none"/>
        </w:rPr>
        <w:drawing>
          <wp:inline distT="0" distB="0" distL="114300" distR="114300">
            <wp:extent cx="4993005" cy="4231640"/>
            <wp:effectExtent l="0" t="0" r="17145" b="1651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1"/>
                    <a:stretch>
                      <a:fillRect/>
                    </a:stretch>
                  </pic:blipFill>
                  <pic:spPr>
                    <a:xfrm>
                      <a:off x="0" y="0"/>
                      <a:ext cx="4993005" cy="4231640"/>
                    </a:xfrm>
                    <a:prstGeom prst="rect">
                      <a:avLst/>
                    </a:prstGeom>
                    <a:noFill/>
                    <a:ln>
                      <a:noFill/>
                    </a:ln>
                  </pic:spPr>
                </pic:pic>
              </a:graphicData>
            </a:graphic>
          </wp:inline>
        </w:drawing>
      </w:r>
    </w:p>
    <w:p w14:paraId="6295D05F">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3</w:t>
      </w:r>
      <w:r>
        <w:fldChar w:fldCharType="end"/>
      </w:r>
      <w:r>
        <w:rPr>
          <w:rFonts w:hint="eastAsia"/>
          <w:lang w:val="en-US" w:eastAsia="zh-CN"/>
        </w:rPr>
        <w:t xml:space="preserve"> </w:t>
      </w:r>
      <w:r>
        <w:rPr>
          <w:rFonts w:hint="eastAsia"/>
          <w:highlight w:val="none"/>
          <w:lang w:val="en-US" w:eastAsia="zh-CN"/>
        </w:rPr>
        <w:t>沈阳都市圈交通图</w:t>
      </w:r>
    </w:p>
    <w:p w14:paraId="02A58945">
      <w:pPr>
        <w:pStyle w:val="4"/>
        <w:bidi w:val="0"/>
        <w:rPr>
          <w:rFonts w:hint="eastAsia"/>
          <w:highlight w:val="none"/>
        </w:rPr>
      </w:pPr>
      <w:bookmarkStart w:id="34" w:name="_Toc24920"/>
      <w:r>
        <w:rPr>
          <w:rFonts w:hint="eastAsia"/>
          <w:highlight w:val="none"/>
        </w:rPr>
        <w:t>经济增势显著，产业规模不断壮大</w:t>
      </w:r>
      <w:bookmarkEnd w:id="34"/>
    </w:p>
    <w:p w14:paraId="1E4E22E7">
      <w:pPr>
        <w:bidi w:val="0"/>
        <w:rPr>
          <w:b/>
          <w:bCs/>
        </w:rPr>
      </w:pPr>
      <w:r>
        <w:rPr>
          <w:rFonts w:hint="eastAsia"/>
          <w:b/>
          <w:bCs/>
          <w:lang w:val="en-US" w:eastAsia="zh-CN"/>
        </w:rPr>
        <w:t>1.</w:t>
      </w:r>
      <w:r>
        <w:rPr>
          <w:rFonts w:hint="eastAsia"/>
          <w:b/>
          <w:bCs/>
        </w:rPr>
        <w:t>经济总量持续快速增长</w:t>
      </w:r>
    </w:p>
    <w:p w14:paraId="2B5EF9E1">
      <w:pPr>
        <w:bidi w:val="0"/>
        <w:rPr>
          <w:rFonts w:hint="eastAsia"/>
          <w:lang w:val="en-US" w:eastAsia="zh-CN"/>
        </w:rPr>
      </w:pPr>
      <w:r>
        <w:rPr>
          <w:rFonts w:hint="eastAsia"/>
          <w:lang w:val="en-US" w:eastAsia="zh-CN"/>
        </w:rPr>
        <w:t>彰武县2023年</w:t>
      </w:r>
      <w:r>
        <w:rPr>
          <w:rFonts w:hint="eastAsia"/>
        </w:rPr>
        <w:t>全年地区生产总值预计完成134.9亿元，同比增长8.2%；一般公共预算收入预计完成7.3亿元，同比增长15.2%；农村常住居民人均可支配收入预计实现18476元，同比增长8.3%</w:t>
      </w:r>
      <w:r>
        <w:rPr>
          <w:rFonts w:hint="eastAsia"/>
          <w:lang w:eastAsia="zh-CN"/>
        </w:rPr>
        <w:t>，全面打响彰武“加速赶超、富民升位”三年攻坚之战。</w:t>
      </w:r>
    </w:p>
    <w:p w14:paraId="6B69F2BE">
      <w:pPr>
        <w:bidi w:val="0"/>
        <w:rPr>
          <w:rFonts w:hint="eastAsia"/>
          <w:b/>
          <w:bCs/>
        </w:rPr>
      </w:pPr>
      <w:r>
        <w:rPr>
          <w:rFonts w:hint="eastAsia"/>
          <w:b/>
          <w:bCs/>
          <w:lang w:val="en-US" w:eastAsia="zh-CN"/>
        </w:rPr>
        <w:t>2.</w:t>
      </w:r>
      <w:r>
        <w:rPr>
          <w:rFonts w:hint="eastAsia"/>
          <w:b/>
          <w:bCs/>
        </w:rPr>
        <w:t>工业基础实力不断增强</w:t>
      </w:r>
    </w:p>
    <w:p w14:paraId="5D8CF5E1">
      <w:pPr>
        <w:bidi w:val="0"/>
        <w:rPr>
          <w:rFonts w:hint="eastAsia"/>
          <w:highlight w:val="none"/>
        </w:rPr>
      </w:pPr>
      <w:r>
        <w:rPr>
          <w:rFonts w:hint="eastAsia"/>
          <w:highlight w:val="none"/>
        </w:rPr>
        <w:t>工业经济增效提速。全年规上工业总产值完成</w:t>
      </w:r>
      <w:r>
        <w:rPr>
          <w:rFonts w:hint="eastAsia"/>
          <w:highlight w:val="none"/>
          <w:lang w:val="en-US" w:eastAsia="zh-CN"/>
        </w:rPr>
        <w:t>85.9</w:t>
      </w:r>
      <w:r>
        <w:rPr>
          <w:rFonts w:hint="eastAsia"/>
          <w:highlight w:val="none"/>
        </w:rPr>
        <w:t>亿元，同比增长</w:t>
      </w:r>
      <w:r>
        <w:rPr>
          <w:rFonts w:hint="eastAsia"/>
          <w:highlight w:val="none"/>
          <w:lang w:val="en-US" w:eastAsia="zh-CN"/>
        </w:rPr>
        <w:t>33.1</w:t>
      </w:r>
      <w:r>
        <w:rPr>
          <w:rFonts w:hint="eastAsia"/>
          <w:highlight w:val="none"/>
        </w:rPr>
        <w:t>%，超额完成全年任务；规上工业增加值同比增长</w:t>
      </w:r>
      <w:r>
        <w:rPr>
          <w:rFonts w:hint="eastAsia"/>
          <w:highlight w:val="none"/>
          <w:lang w:val="en-US" w:eastAsia="zh-CN"/>
        </w:rPr>
        <w:t>22.7</w:t>
      </w:r>
      <w:r>
        <w:rPr>
          <w:rFonts w:hint="eastAsia"/>
          <w:highlight w:val="none"/>
        </w:rPr>
        <w:t>%。重庆长江、新铝科技、辽宁春潮、华洲重工等企业满负荷生产运行，绿色硅砂产业产值实现27.</w:t>
      </w:r>
      <w:r>
        <w:rPr>
          <w:rFonts w:hint="eastAsia"/>
          <w:highlight w:val="none"/>
          <w:lang w:val="en-US" w:eastAsia="zh-CN"/>
        </w:rPr>
        <w:t>5</w:t>
      </w:r>
      <w:r>
        <w:rPr>
          <w:rFonts w:hint="eastAsia"/>
          <w:highlight w:val="none"/>
        </w:rPr>
        <w:t>亿元；海岳、双汇等农产品深加工企业全部投产达效，绿色食品产业产值实现</w:t>
      </w:r>
      <w:r>
        <w:rPr>
          <w:rFonts w:hint="eastAsia"/>
          <w:highlight w:val="none"/>
          <w:lang w:val="en-US" w:eastAsia="zh-CN"/>
        </w:rPr>
        <w:t>50.1</w:t>
      </w:r>
      <w:r>
        <w:rPr>
          <w:rFonts w:hint="eastAsia"/>
          <w:highlight w:val="none"/>
        </w:rPr>
        <w:t>亿元，同比增长64%；全县新能源装机容量突破160万千瓦，绿色能源产业产值实现</w:t>
      </w:r>
      <w:r>
        <w:rPr>
          <w:rFonts w:hint="eastAsia"/>
          <w:highlight w:val="none"/>
          <w:lang w:val="en-US" w:eastAsia="zh-CN"/>
        </w:rPr>
        <w:t>6.4</w:t>
      </w:r>
      <w:r>
        <w:rPr>
          <w:rFonts w:hint="eastAsia"/>
          <w:highlight w:val="none"/>
        </w:rPr>
        <w:t>亿元，同比增长</w:t>
      </w:r>
      <w:r>
        <w:rPr>
          <w:rFonts w:hint="eastAsia"/>
          <w:highlight w:val="none"/>
          <w:lang w:val="en-US" w:eastAsia="zh-CN"/>
        </w:rPr>
        <w:t>32.7</w:t>
      </w:r>
      <w:r>
        <w:rPr>
          <w:rFonts w:hint="eastAsia"/>
          <w:highlight w:val="none"/>
        </w:rPr>
        <w:t>%。推动认养一头牛、新亚科技、大金重工等企业入规纳统，全年新增规上工业企业10户。阜新彰武经济开发区与农副食品加工产业基地完成管理机构整合，整体竞争力进一步提升，园区产值完成60亿元。隆源砂业、申耐电器、泰武散热器等7户企业获批高新技术企业，新增雏鹰企业、瞪羚企业3户，专精特新企业2户。完成工业技改项目13个。联通管业、华洲重工获批国家级绿色工厂。</w:t>
      </w:r>
    </w:p>
    <w:p w14:paraId="465E7C81">
      <w:pPr>
        <w:bidi w:val="0"/>
        <w:rPr>
          <w:rFonts w:hint="default"/>
          <w:b/>
          <w:bCs/>
          <w:highlight w:val="none"/>
          <w:lang w:val="en-US" w:eastAsia="zh-CN"/>
        </w:rPr>
      </w:pPr>
      <w:r>
        <w:rPr>
          <w:rFonts w:hint="eastAsia"/>
          <w:b/>
          <w:bCs/>
          <w:highlight w:val="none"/>
          <w:lang w:val="en-US" w:eastAsia="zh-CN"/>
        </w:rPr>
        <w:t>3.</w:t>
      </w:r>
      <w:r>
        <w:rPr>
          <w:rFonts w:hint="eastAsia"/>
          <w:b/>
          <w:bCs/>
          <w:highlight w:val="none"/>
        </w:rPr>
        <w:t>农业发展水平明显提升</w:t>
      </w:r>
    </w:p>
    <w:p w14:paraId="3BC49000">
      <w:pPr>
        <w:bidi w:val="0"/>
        <w:rPr>
          <w:rFonts w:hint="default"/>
          <w:highlight w:val="none"/>
          <w:lang w:val="en-US" w:eastAsia="zh-CN"/>
        </w:rPr>
      </w:pPr>
      <w:r>
        <w:rPr>
          <w:rFonts w:hint="default"/>
          <w:highlight w:val="none"/>
          <w:lang w:val="en-US" w:eastAsia="zh-CN"/>
        </w:rPr>
        <w:t>农业发展固本提质。深入开展新一轮千亿斤粮食产能提升行动，全年粮食产量突破23亿斤。实施玉米单产提升工程20.6万亩，亩均增产680斤以上，直接带动农户增收1.2亿元。完成隆成高粱、天丰大米、绿维大米“两品一标”认证。双汇禽业、牧业全面建成投产，禾丰辽育白牛项目地块达到开工条件，优然牧业、新希望扩能增效，全县猪、牛、羊、禽类出栏量分别达到202万头、42.7万头、196万只和8000万只，全年未发生区域性重大动物疫情。完成154条干渠、180条支渠、1766公里毛斗渠清淤疏浚，农田排涝大会战全面告捷。建设设施农业7500亩，高标准农田20万亩，完成保护性耕作72.5万亩，农业基础进一步夯实。我县成功创建国家农业绿色发展先行示范区。</w:t>
      </w:r>
    </w:p>
    <w:p w14:paraId="3965D447">
      <w:pPr>
        <w:bidi w:val="0"/>
        <w:rPr>
          <w:rFonts w:hint="default"/>
          <w:b/>
          <w:bCs/>
          <w:lang w:val="en-US" w:eastAsia="zh-CN"/>
        </w:rPr>
      </w:pPr>
      <w:r>
        <w:rPr>
          <w:rFonts w:hint="eastAsia"/>
          <w:b/>
          <w:bCs/>
          <w:lang w:val="en-US" w:eastAsia="zh-CN"/>
        </w:rPr>
        <w:t>4.</w:t>
      </w:r>
      <w:r>
        <w:rPr>
          <w:rFonts w:hint="eastAsia"/>
          <w:b/>
          <w:bCs/>
        </w:rPr>
        <w:t>现代服务</w:t>
      </w:r>
      <w:r>
        <w:rPr>
          <w:b/>
          <w:bCs/>
        </w:rPr>
        <w:t>业</w:t>
      </w:r>
      <w:r>
        <w:rPr>
          <w:rFonts w:hint="eastAsia"/>
          <w:b/>
          <w:bCs/>
        </w:rPr>
        <w:t>迅猛</w:t>
      </w:r>
      <w:r>
        <w:rPr>
          <w:b/>
          <w:bCs/>
        </w:rPr>
        <w:t>发展</w:t>
      </w:r>
    </w:p>
    <w:p w14:paraId="3718A11B">
      <w:pPr>
        <w:bidi w:val="0"/>
        <w:rPr>
          <w:rFonts w:hint="default"/>
          <w:highlight w:val="none"/>
          <w:lang w:val="en-US" w:eastAsia="zh-CN"/>
        </w:rPr>
      </w:pPr>
      <w:r>
        <w:rPr>
          <w:rFonts w:hint="default"/>
          <w:highlight w:val="none"/>
          <w:lang w:val="en-US" w:eastAsia="zh-CN"/>
        </w:rPr>
        <w:t>建设完成回望沙原主题景观，“中国科学治沙第一锹”“爱的殿堂”婚礼主题广场成为新的网红打卡地，德力格尔景区被中国旅行社协会授予全国研学旅行基地，“漠上草原、生态彰武”旅游品牌享誉全国。成功举办“漠上草原欢乐跑”“第六届中国农民丰收节”等文化旅游活动6场，吸纳国内外游客87万人次，旅游总收入实现8亿元。明宇商贸、国军加油站等4户企业升限入统，社会消费品零售总额完成29.6亿元，同比增长10%。旗晟贸易、华威五金、北斗星花卉等10户外贸企业订单稳增，进出口额实现5500万元，同比增长17%。彰武县电子商务物流中心建成投用，建设电商公共服务物流站点140个，全年电子商务交易额完成2.5亿元。彰武夜市进驻商户150余户，日均客流量3000余人，总营销额实现2000万元。“彰武记忆”区域公共品牌发布会在武汉国际电子商务暨“互联网+产业”博览会主会场成功举办。</w:t>
      </w:r>
    </w:p>
    <w:p w14:paraId="5EFE0B51">
      <w:pPr>
        <w:numPr>
          <w:ilvl w:val="0"/>
          <w:numId w:val="0"/>
        </w:numPr>
        <w:bidi w:val="0"/>
        <w:ind w:leftChars="200"/>
        <w:rPr>
          <w:rFonts w:hint="eastAsia"/>
          <w:b/>
          <w:bCs/>
          <w:highlight w:val="none"/>
          <w:lang w:val="en-US" w:eastAsia="zh-CN"/>
        </w:rPr>
      </w:pPr>
      <w:r>
        <w:rPr>
          <w:rFonts w:hint="eastAsia"/>
          <w:b/>
          <w:bCs/>
          <w:highlight w:val="none"/>
          <w:lang w:val="en-US" w:eastAsia="zh-CN"/>
        </w:rPr>
        <w:t>5.公路建设水平不断提高</w:t>
      </w:r>
    </w:p>
    <w:p w14:paraId="43C906AE">
      <w:pPr>
        <w:bidi w:val="0"/>
        <w:rPr>
          <w:rFonts w:hint="eastAsia"/>
          <w:lang w:val="en-US" w:eastAsia="zh-CN"/>
        </w:rPr>
      </w:pPr>
      <w:r>
        <w:rPr>
          <w:rFonts w:hint="eastAsia"/>
          <w:lang w:val="en-US" w:eastAsia="zh-CN"/>
        </w:rPr>
        <w:t>现有长深高速、国道101与新鲁高速、国道304形成十字交叉走廊，现已完成国道304改线，解决主城区客货分流现象。2023年公路总里程为3534.212公里（不含专用公路），其中高速公路117.562公里（沈彰高速13.54公里、铁阜高速48.2公里、彰阿高速55.822公里）；普通公路3416.65公里（不含专用公路），其中：</w:t>
      </w:r>
    </w:p>
    <w:p w14:paraId="3259A117">
      <w:pPr>
        <w:bidi w:val="0"/>
        <w:rPr>
          <w:rFonts w:hint="eastAsia"/>
          <w:lang w:val="en-US" w:eastAsia="zh-CN"/>
        </w:rPr>
      </w:pPr>
      <w:r>
        <w:rPr>
          <w:rFonts w:hint="eastAsia"/>
          <w:lang w:val="en-US" w:eastAsia="zh-CN"/>
        </w:rPr>
        <w:t>（1）国道3条公里177.245公里，其中京沈线75.928公里，丹霍线73.376公里，开奈线27.941公里；</w:t>
      </w:r>
    </w:p>
    <w:p w14:paraId="4DEDCEDF">
      <w:pPr>
        <w:bidi w:val="0"/>
        <w:rPr>
          <w:rFonts w:hint="eastAsia"/>
          <w:lang w:val="en-US" w:eastAsia="zh-CN"/>
        </w:rPr>
      </w:pPr>
      <w:r>
        <w:rPr>
          <w:rFonts w:hint="eastAsia"/>
          <w:lang w:val="en-US" w:eastAsia="zh-CN"/>
        </w:rPr>
        <w:t>（2）省道2条166.091公里，其中法盘线59.727公里，柏哈线106.364公里；</w:t>
      </w:r>
    </w:p>
    <w:p w14:paraId="06E224EF">
      <w:pPr>
        <w:bidi w:val="0"/>
        <w:rPr>
          <w:rFonts w:hint="eastAsia"/>
          <w:lang w:val="en-US" w:eastAsia="zh-CN"/>
        </w:rPr>
      </w:pPr>
      <w:r>
        <w:rPr>
          <w:rFonts w:hint="eastAsia"/>
          <w:lang w:val="en-US" w:eastAsia="zh-CN"/>
        </w:rPr>
        <w:t>（3）县道6条115.352公里，其中彰梁线22.618公里，建碱线10.594公里，彰哈线32.599公里，大韩线30.281公里，两兵线14.1公里，中高线5.16公里；</w:t>
      </w:r>
    </w:p>
    <w:p w14:paraId="5AA224AA">
      <w:pPr>
        <w:bidi w:val="0"/>
        <w:rPr>
          <w:rFonts w:hint="eastAsia"/>
          <w:lang w:val="en-US" w:eastAsia="zh-CN"/>
        </w:rPr>
      </w:pPr>
      <w:r>
        <w:rPr>
          <w:rFonts w:hint="eastAsia"/>
          <w:lang w:val="en-US" w:eastAsia="zh-CN"/>
        </w:rPr>
        <w:t>（4）乡道76条875.571公里；</w:t>
      </w:r>
    </w:p>
    <w:p w14:paraId="35219146">
      <w:pPr>
        <w:bidi w:val="0"/>
        <w:rPr>
          <w:rFonts w:hint="eastAsia"/>
          <w:lang w:val="en-US" w:eastAsia="zh-CN"/>
        </w:rPr>
      </w:pPr>
      <w:r>
        <w:rPr>
          <w:rFonts w:hint="eastAsia"/>
          <w:lang w:val="en-US" w:eastAsia="zh-CN"/>
        </w:rPr>
        <w:t xml:space="preserve">（5）专用公路1条2.658公里； </w:t>
      </w:r>
    </w:p>
    <w:p w14:paraId="0B44982D">
      <w:pPr>
        <w:bidi w:val="0"/>
        <w:rPr>
          <w:rFonts w:hint="eastAsia"/>
          <w:lang w:val="en-US" w:eastAsia="zh-CN"/>
        </w:rPr>
      </w:pPr>
      <w:r>
        <w:rPr>
          <w:rFonts w:hint="eastAsia"/>
          <w:lang w:val="en-US" w:eastAsia="zh-CN"/>
        </w:rPr>
        <w:t>（6）村道889条2082.391公里。</w:t>
      </w:r>
    </w:p>
    <w:p w14:paraId="176A3F0D">
      <w:pPr>
        <w:pStyle w:val="4"/>
        <w:bidi w:val="0"/>
        <w:rPr>
          <w:rFonts w:hint="default"/>
          <w:highlight w:val="none"/>
          <w:lang w:val="en-US" w:eastAsia="zh-CN"/>
        </w:rPr>
      </w:pPr>
      <w:bookmarkStart w:id="35" w:name="_Toc21341"/>
      <w:r>
        <w:rPr>
          <w:rFonts w:hint="eastAsia"/>
          <w:highlight w:val="none"/>
          <w:lang w:val="en-US" w:eastAsia="zh-CN"/>
        </w:rPr>
        <w:t>城镇体系优化，助力发展格局</w:t>
      </w:r>
      <w:bookmarkEnd w:id="35"/>
    </w:p>
    <w:p w14:paraId="5300D2C4">
      <w:pPr>
        <w:rPr>
          <w:rFonts w:hint="default"/>
          <w:highlight w:val="none"/>
          <w:lang w:val="en-US" w:eastAsia="zh-CN"/>
        </w:rPr>
      </w:pPr>
      <w:r>
        <w:rPr>
          <w:rFonts w:hint="default"/>
          <w:highlight w:val="none"/>
          <w:lang w:val="en-US" w:eastAsia="zh-CN"/>
        </w:rPr>
        <w:t>优化城镇空间结构布局，以新型城镇化和美丽乡村建设为引领，以县城为中心，以示范建设为抓手，打造新时代城镇（村）“一核两轴三带四中心镇”的新发展空间布局。</w:t>
      </w:r>
    </w:p>
    <w:p w14:paraId="4B124080">
      <w:pPr>
        <w:rPr>
          <w:rFonts w:hint="default"/>
          <w:highlight w:val="none"/>
          <w:lang w:val="en-US" w:eastAsia="zh-CN"/>
        </w:rPr>
      </w:pPr>
      <w:r>
        <w:rPr>
          <w:rFonts w:hint="default"/>
          <w:highlight w:val="none"/>
          <w:lang w:val="en-US" w:eastAsia="zh-CN"/>
        </w:rPr>
        <w:t>以彰武经济开发区和彰武县农副产品精深加工产业基地为载体，推进产城一</w:t>
      </w:r>
      <w:r>
        <w:rPr>
          <w:rFonts w:hint="eastAsia"/>
          <w:highlight w:val="none"/>
          <w:lang w:val="en-US" w:eastAsia="zh-CN"/>
        </w:rPr>
        <w:t>体化发展，南联西拓，促进城乡融合、产业融合和产城融合，带动商贸物流集聚区建设，打造城市功能集聚发展核心区。</w:t>
      </w:r>
    </w:p>
    <w:p w14:paraId="2D9D5D2B">
      <w:pPr>
        <w:bidi w:val="0"/>
        <w:rPr>
          <w:rFonts w:hint="default"/>
          <w:highlight w:val="none"/>
          <w:lang w:val="en-US" w:eastAsia="zh-CN"/>
        </w:rPr>
      </w:pPr>
      <w:r>
        <w:rPr>
          <w:rFonts w:hint="default"/>
          <w:highlight w:val="none"/>
          <w:lang w:val="en-US" w:eastAsia="zh-CN"/>
        </w:rPr>
        <w:t>“两轴”，即以国道304线、101线为发展轴。304线工业经济发展轴，以阿尔乡、章古台、冯家、西六</w:t>
      </w:r>
      <w:r>
        <w:rPr>
          <w:rFonts w:hint="eastAsia"/>
          <w:highlight w:val="none"/>
          <w:lang w:val="en-US" w:eastAsia="zh-CN"/>
        </w:rPr>
        <w:t>家子</w:t>
      </w:r>
      <w:r>
        <w:rPr>
          <w:rFonts w:hint="default"/>
          <w:highlight w:val="none"/>
          <w:lang w:val="en-US" w:eastAsia="zh-CN"/>
        </w:rPr>
        <w:t>等沿线乡镇为载体，以硅砂工业为主，兼顾农产品加工、生态旅游、物流货运。101线农业经济发展轴，以东六</w:t>
      </w:r>
      <w:r>
        <w:rPr>
          <w:rFonts w:hint="eastAsia"/>
          <w:highlight w:val="none"/>
          <w:lang w:val="en-US" w:eastAsia="zh-CN"/>
        </w:rPr>
        <w:t>家子</w:t>
      </w:r>
      <w:r>
        <w:rPr>
          <w:rFonts w:hint="default"/>
          <w:highlight w:val="none"/>
          <w:lang w:val="en-US" w:eastAsia="zh-CN"/>
        </w:rPr>
        <w:t>、苇子沟、二道河子、五峰、双庙、丰田、哈尔套等沿线乡镇为载体，发展设施农业、观光农业、畜禽养殖、特色种植业。</w:t>
      </w:r>
    </w:p>
    <w:p w14:paraId="445CC45C">
      <w:pPr>
        <w:bidi w:val="0"/>
        <w:rPr>
          <w:highlight w:val="none"/>
        </w:rPr>
      </w:pPr>
      <w:r>
        <w:rPr>
          <w:highlight w:val="none"/>
          <w:lang w:val="en-US" w:eastAsia="zh-CN"/>
        </w:rPr>
        <w:t>“三带”，即百万亩草原生态经济带、柳河旅游观光带、养息牧河生态防护</w:t>
      </w:r>
      <w:r>
        <w:rPr>
          <w:rFonts w:hint="eastAsia"/>
          <w:highlight w:val="none"/>
          <w:lang w:val="en-US" w:eastAsia="zh-CN"/>
        </w:rPr>
        <w:t>带。以阿尔乡、章古台、四合城、大德、后新秋、冯家、大冷等北部7个乡镇，实施草原生态恢复工程，大力开发草原旅游景观，积极培育后续产业，打造百万</w:t>
      </w:r>
      <w:r>
        <w:rPr>
          <w:highlight w:val="none"/>
          <w:lang w:val="en-US" w:eastAsia="zh-CN"/>
        </w:rPr>
        <w:t>亩草原生态经济带。</w:t>
      </w:r>
    </w:p>
    <w:p w14:paraId="5DBD0F32">
      <w:pPr>
        <w:bidi w:val="0"/>
        <w:rPr>
          <w:highlight w:val="none"/>
        </w:rPr>
      </w:pPr>
      <w:r>
        <w:rPr>
          <w:highlight w:val="none"/>
          <w:lang w:val="en-US" w:eastAsia="zh-CN"/>
        </w:rPr>
        <w:t>“四中心镇”，即依托章古台镇、哈尔套镇、东六</w:t>
      </w:r>
      <w:r>
        <w:rPr>
          <w:rFonts w:hint="eastAsia"/>
          <w:highlight w:val="none"/>
          <w:lang w:val="en-US" w:eastAsia="zh-CN"/>
        </w:rPr>
        <w:t>家子</w:t>
      </w:r>
      <w:r>
        <w:rPr>
          <w:highlight w:val="none"/>
          <w:lang w:val="en-US" w:eastAsia="zh-CN"/>
        </w:rPr>
        <w:t>镇、后新秋镇，打造四个</w:t>
      </w:r>
      <w:r>
        <w:rPr>
          <w:rFonts w:hint="eastAsia"/>
          <w:highlight w:val="none"/>
          <w:lang w:val="en-US" w:eastAsia="zh-CN"/>
        </w:rPr>
        <w:t xml:space="preserve">经济中心镇。 </w:t>
      </w:r>
    </w:p>
    <w:p w14:paraId="0CAA8C37">
      <w:pPr>
        <w:bidi w:val="0"/>
        <w:rPr>
          <w:highlight w:val="none"/>
        </w:rPr>
      </w:pPr>
      <w:r>
        <w:rPr>
          <w:rFonts w:hint="eastAsia"/>
          <w:highlight w:val="none"/>
          <w:lang w:val="en-US" w:eastAsia="zh-CN"/>
        </w:rPr>
        <w:t xml:space="preserve">——以章古台镇为中心，叫响“中国砂都”品牌，辐射阿尔乡、冯家、四合城、大德和大冷等镇，以硅砂资源为引导，重点发展硅砂开采及关联产业融合新业态，依托硅砂内陆港，打造北部硅砂产业集聚区。 </w:t>
      </w:r>
    </w:p>
    <w:p w14:paraId="13A228D3">
      <w:pPr>
        <w:bidi w:val="0"/>
        <w:rPr>
          <w:highlight w:val="none"/>
        </w:rPr>
      </w:pPr>
      <w:r>
        <w:rPr>
          <w:rFonts w:hint="eastAsia"/>
          <w:highlight w:val="none"/>
          <w:lang w:val="en-US" w:eastAsia="zh-CN"/>
        </w:rPr>
        <w:t xml:space="preserve">——以哈尔套镇为中心，叫响“哈尔套大集”老字号品牌，辐射满堂红、双庙、四堡子、平安、两家子和丰田等乡镇，重点发展设施农业、生态农业、特色农业，打造“彰武地瓜”“彰武黑豆”“彰武杂粮”等沙农业品牌；以哈尔套大集为平台，借助“全辽管钥”优势，发展商贸物流业，打造西部特色农业和商贸产业集聚区。 </w:t>
      </w:r>
    </w:p>
    <w:p w14:paraId="0BF4F02A">
      <w:pPr>
        <w:bidi w:val="0"/>
        <w:rPr>
          <w:highlight w:val="none"/>
        </w:rPr>
      </w:pPr>
      <w:r>
        <w:rPr>
          <w:rFonts w:hint="eastAsia"/>
          <w:highlight w:val="none"/>
          <w:lang w:val="en-US" w:eastAsia="zh-CN"/>
        </w:rPr>
        <w:t xml:space="preserve">——以东六家子镇为中心，叫响沈阳现代化都市圈“大厨房”品牌，辐射苇子沟、二道河子、西六家子等镇，以农副产品精深加工基地为平台，发展草食性畜牧业、畜产品加工业，建设沈阳现代化都市圈“大厨房”，打造东南部畜牧业产业化集聚区。 </w:t>
      </w:r>
    </w:p>
    <w:p w14:paraId="5963A1CA">
      <w:pPr>
        <w:bidi w:val="0"/>
        <w:rPr>
          <w:highlight w:val="none"/>
        </w:rPr>
      </w:pPr>
      <w:r>
        <w:rPr>
          <w:rFonts w:hint="eastAsia"/>
          <w:highlight w:val="none"/>
          <w:lang w:val="en-US" w:eastAsia="zh-CN"/>
        </w:rPr>
        <w:t>——以后新秋镇为中心，叫响“生态草原”旅游品牌，辐射大四家子、大德、大冷、兴隆堡等镇，以彰武草原生态恢复示范区、大清沟、巨龙湖水库、千佛山等风景区为引导，重点发展绿色观光农业和水产养殖业；发挥风力资源优势，发展风电产业，建设沈阳现代化都市圈电力能源基地，打造文旅和新能源产业集聚区。</w:t>
      </w:r>
    </w:p>
    <w:p w14:paraId="68349A88">
      <w:pPr>
        <w:pStyle w:val="4"/>
        <w:bidi w:val="0"/>
        <w:rPr>
          <w:rFonts w:hint="default"/>
          <w:highlight w:val="none"/>
          <w:lang w:val="en-US" w:eastAsia="zh-CN"/>
        </w:rPr>
      </w:pPr>
      <w:bookmarkStart w:id="36" w:name="_Toc5363"/>
      <w:r>
        <w:rPr>
          <w:rFonts w:hint="eastAsia"/>
          <w:highlight w:val="none"/>
        </w:rPr>
        <w:t>现代物流</w:t>
      </w:r>
      <w:r>
        <w:rPr>
          <w:rFonts w:hint="eastAsia"/>
          <w:highlight w:val="none"/>
          <w:lang w:val="en-US" w:eastAsia="zh-CN"/>
        </w:rPr>
        <w:t>需求快速</w:t>
      </w:r>
      <w:r>
        <w:rPr>
          <w:rFonts w:hint="eastAsia"/>
          <w:highlight w:val="none"/>
        </w:rPr>
        <w:t>发展，服务体系</w:t>
      </w:r>
      <w:r>
        <w:rPr>
          <w:rFonts w:hint="eastAsia"/>
          <w:highlight w:val="none"/>
          <w:lang w:val="en-US" w:eastAsia="zh-CN"/>
        </w:rPr>
        <w:t>有待</w:t>
      </w:r>
      <w:r>
        <w:rPr>
          <w:rFonts w:hint="eastAsia"/>
          <w:highlight w:val="none"/>
        </w:rPr>
        <w:t>完善</w:t>
      </w:r>
      <w:bookmarkEnd w:id="36"/>
    </w:p>
    <w:p w14:paraId="49CC02D6">
      <w:pPr>
        <w:rPr>
          <w:rFonts w:hint="eastAsia"/>
          <w:highlight w:val="none"/>
          <w:lang w:val="en-US" w:eastAsia="zh-CN"/>
        </w:rPr>
      </w:pPr>
      <w:r>
        <w:rPr>
          <w:rFonts w:hint="eastAsia"/>
          <w:highlight w:val="none"/>
          <w:lang w:val="en-US" w:eastAsia="zh-CN"/>
        </w:rPr>
        <w:t>近年来，彰武县新兴业态加速涌现，工业物流、商贸物流、快递物流和农村物流需求迅速扩大，而彰武县物流行业发展未能跟上物流需求的发展，影响了产业发展速度。</w:t>
      </w:r>
    </w:p>
    <w:p w14:paraId="69CD0A57">
      <w:pPr>
        <w:rPr>
          <w:rFonts w:hint="eastAsia"/>
          <w:highlight w:val="none"/>
          <w:lang w:val="en-US" w:eastAsia="zh-CN"/>
        </w:rPr>
      </w:pPr>
      <w:r>
        <w:rPr>
          <w:rFonts w:hint="eastAsia"/>
          <w:highlight w:val="none"/>
          <w:lang w:val="en-US" w:eastAsia="zh-CN"/>
        </w:rPr>
        <w:t>目前县乡二级物流配送网络基本完善，小商品物流配送中心乡镇覆盖率达到100%。村级网点覆盖率较低，仅部分人口数量较高或位于县、乡重要道路两侧的村设置了小商品物流集散点，大量村落收发快递均需要前往中心镇或隔壁村落，物流不便也限制了村内网络消费意愿。从‘快递下乡’工程到‘快递进村’工程，再到农村寄递物流体系建设，彰武农村寄递物流体系从无到有，从初步建立到日渐完善，初步实现了社会效益和经济效益双赢。如今，随着农村地区网购需求日渐增长、农产品进城需求逐步增加，彰武县仍需持续强化寄递网络服务效能，通过延伸服务网络、加大设备投入、优化服务管理等方式，不断提升农村地区服务能力，提升用户寄递体验。</w:t>
      </w:r>
    </w:p>
    <w:p w14:paraId="0C8442D5">
      <w:pPr>
        <w:rPr>
          <w:rFonts w:hint="default"/>
          <w:highlight w:val="none"/>
          <w:lang w:val="en-US" w:eastAsia="zh-CN"/>
        </w:rPr>
      </w:pPr>
      <w:r>
        <w:rPr>
          <w:rFonts w:hint="eastAsia"/>
          <w:highlight w:val="none"/>
          <w:lang w:val="en-US" w:eastAsia="zh-CN"/>
        </w:rPr>
        <w:t>现有物流企业12家，主要以公路运输为主体，下辖车辆以普通货运卡车为主体，以冷链运输车及集装箱车为辅，铰链运输车数量较低。彰武县铁路年运输量仅为40余万吨，远低于公路运输量，据不完全统计，彰武公路年运输量超出800万吨。</w:t>
      </w:r>
    </w:p>
    <w:p w14:paraId="02E90B39">
      <w:pPr>
        <w:pStyle w:val="11"/>
        <w:bidi w:val="0"/>
      </w:pPr>
    </w:p>
    <w:p w14:paraId="01EF7C74">
      <w:pPr>
        <w:pStyle w:val="11"/>
        <w:bidi w:val="0"/>
      </w:pPr>
    </w:p>
    <w:p w14:paraId="1CD3B3D2">
      <w:pPr>
        <w:pStyle w:val="11"/>
        <w:bidi w:val="0"/>
      </w:pPr>
    </w:p>
    <w:p w14:paraId="484847C9">
      <w:pPr>
        <w:pStyle w:val="11"/>
        <w:bidi w:val="0"/>
      </w:pPr>
    </w:p>
    <w:p w14:paraId="12117300">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物流企业信息表</w:t>
      </w:r>
    </w:p>
    <w:tbl>
      <w:tblPr>
        <w:tblStyle w:val="20"/>
        <w:tblW w:w="4357"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29"/>
        <w:gridCol w:w="1289"/>
        <w:gridCol w:w="3029"/>
        <w:gridCol w:w="2334"/>
      </w:tblGrid>
      <w:tr w14:paraId="061CB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blCellSpacing w:w="0" w:type="dxa"/>
          <w:jc w:val="center"/>
        </w:trPr>
        <w:tc>
          <w:tcPr>
            <w:tcW w:w="432" w:type="pct"/>
            <w:tcBorders>
              <w:top w:val="single" w:color="4D9CDF"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4EB5213F">
            <w:pPr>
              <w:pStyle w:val="25"/>
              <w:bidi w:val="0"/>
              <w:rPr>
                <w:highlight w:val="none"/>
              </w:rPr>
            </w:pPr>
            <w:r>
              <w:rPr>
                <w:b w:val="0"/>
                <w:bCs/>
                <w:highlight w:val="none"/>
              </w:rPr>
              <w:t>序号</w:t>
            </w:r>
          </w:p>
        </w:tc>
        <w:tc>
          <w:tcPr>
            <w:tcW w:w="885" w:type="pct"/>
            <w:tcBorders>
              <w:top w:val="single" w:color="4D9CDF"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6BA03E5A">
            <w:pPr>
              <w:pStyle w:val="25"/>
              <w:bidi w:val="0"/>
              <w:rPr>
                <w:highlight w:val="none"/>
              </w:rPr>
            </w:pPr>
            <w:r>
              <w:rPr>
                <w:rFonts w:hint="eastAsia"/>
                <w:b w:val="0"/>
                <w:bCs/>
                <w:highlight w:val="none"/>
              </w:rPr>
              <w:t>企业名称</w:t>
            </w:r>
          </w:p>
        </w:tc>
        <w:tc>
          <w:tcPr>
            <w:tcW w:w="2079" w:type="pct"/>
            <w:tcBorders>
              <w:top w:val="single" w:color="4D9CDF"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4926E0B6">
            <w:pPr>
              <w:pStyle w:val="25"/>
              <w:bidi w:val="0"/>
              <w:rPr>
                <w:highlight w:val="none"/>
              </w:rPr>
            </w:pPr>
            <w:r>
              <w:rPr>
                <w:rFonts w:hint="eastAsia"/>
                <w:b w:val="0"/>
                <w:bCs/>
                <w:highlight w:val="none"/>
              </w:rPr>
              <w:t>经营范围</w:t>
            </w:r>
          </w:p>
        </w:tc>
        <w:tc>
          <w:tcPr>
            <w:tcW w:w="1602" w:type="pct"/>
            <w:tcBorders>
              <w:top w:val="single" w:color="4D9CDF"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03B921C7">
            <w:pPr>
              <w:pStyle w:val="25"/>
              <w:bidi w:val="0"/>
              <w:rPr>
                <w:highlight w:val="none"/>
              </w:rPr>
            </w:pPr>
            <w:r>
              <w:rPr>
                <w:rFonts w:hint="eastAsia"/>
                <w:b w:val="0"/>
                <w:bCs/>
                <w:highlight w:val="none"/>
              </w:rPr>
              <w:t>地址</w:t>
            </w:r>
          </w:p>
        </w:tc>
      </w:tr>
      <w:tr w14:paraId="23AD7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69059F2E">
            <w:pPr>
              <w:pStyle w:val="25"/>
              <w:bidi w:val="0"/>
              <w:rPr>
                <w:highlight w:val="none"/>
              </w:rPr>
            </w:pPr>
            <w:r>
              <w:rPr>
                <w:rFonts w:hint="eastAsia"/>
                <w:b w:val="0"/>
                <w:bCs/>
                <w:highlight w:val="none"/>
              </w:rPr>
              <w:t>1</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1AED19FC">
            <w:pPr>
              <w:pStyle w:val="25"/>
              <w:bidi w:val="0"/>
              <w:rPr>
                <w:highlight w:val="none"/>
              </w:rPr>
            </w:pPr>
            <w:r>
              <w:rPr>
                <w:rFonts w:hint="eastAsia"/>
                <w:b w:val="0"/>
                <w:bCs/>
                <w:highlight w:val="none"/>
              </w:rPr>
              <w:t>彰武县国立物流有限公司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2ACBDB63">
            <w:pPr>
              <w:pStyle w:val="25"/>
              <w:bidi w:val="0"/>
              <w:rPr>
                <w:highlight w:val="none"/>
              </w:rPr>
            </w:pPr>
            <w:r>
              <w:rPr>
                <w:rFonts w:hint="eastAsia"/>
                <w:b w:val="0"/>
                <w:bCs/>
                <w:highlight w:val="none"/>
              </w:rPr>
              <w:t>道路货物运输</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32D7D852">
            <w:pPr>
              <w:pStyle w:val="25"/>
              <w:bidi w:val="0"/>
              <w:rPr>
                <w:highlight w:val="none"/>
              </w:rPr>
            </w:pPr>
            <w:r>
              <w:rPr>
                <w:rFonts w:hint="eastAsia"/>
                <w:b w:val="0"/>
                <w:bCs/>
                <w:highlight w:val="none"/>
              </w:rPr>
              <w:t>辽宁省阜新市彰武县双庙镇杜家村前小杜家3号</w:t>
            </w:r>
          </w:p>
        </w:tc>
      </w:tr>
      <w:tr w14:paraId="5C387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5F6A5047">
            <w:pPr>
              <w:pStyle w:val="25"/>
              <w:bidi w:val="0"/>
              <w:rPr>
                <w:highlight w:val="none"/>
              </w:rPr>
            </w:pPr>
            <w:r>
              <w:rPr>
                <w:rFonts w:hint="eastAsia"/>
                <w:b w:val="0"/>
                <w:bCs/>
                <w:highlight w:val="none"/>
              </w:rPr>
              <w:t>2</w:t>
            </w:r>
          </w:p>
        </w:tc>
        <w:tc>
          <w:tcPr>
            <w:tcW w:w="885"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42707503">
            <w:pPr>
              <w:pStyle w:val="25"/>
              <w:bidi w:val="0"/>
              <w:rPr>
                <w:highlight w:val="none"/>
              </w:rPr>
            </w:pPr>
            <w:r>
              <w:rPr>
                <w:rFonts w:hint="eastAsia"/>
                <w:b w:val="0"/>
                <w:bCs/>
                <w:highlight w:val="none"/>
              </w:rPr>
              <w:t>彰武县吉顺物流运输有限公司</w:t>
            </w:r>
          </w:p>
        </w:tc>
        <w:tc>
          <w:tcPr>
            <w:tcW w:w="2079"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6DB58479">
            <w:pPr>
              <w:pStyle w:val="25"/>
              <w:bidi w:val="0"/>
              <w:rPr>
                <w:highlight w:val="none"/>
              </w:rPr>
            </w:pPr>
            <w:r>
              <w:rPr>
                <w:rFonts w:hint="eastAsia"/>
                <w:b w:val="0"/>
                <w:bCs/>
                <w:highlight w:val="none"/>
              </w:rPr>
              <w:t>道路普通货物运输</w:t>
            </w:r>
          </w:p>
        </w:tc>
        <w:tc>
          <w:tcPr>
            <w:tcW w:w="1602"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5EA33CE7">
            <w:pPr>
              <w:pStyle w:val="25"/>
              <w:bidi w:val="0"/>
              <w:rPr>
                <w:highlight w:val="none"/>
              </w:rPr>
            </w:pPr>
            <w:r>
              <w:rPr>
                <w:rFonts w:hint="eastAsia"/>
                <w:b w:val="0"/>
                <w:bCs/>
                <w:highlight w:val="none"/>
              </w:rPr>
              <w:t>彰武县彰武镇西郊路28-2号</w:t>
            </w:r>
          </w:p>
        </w:tc>
      </w:tr>
      <w:tr w14:paraId="2EFF4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083049E5">
            <w:pPr>
              <w:pStyle w:val="25"/>
              <w:bidi w:val="0"/>
              <w:rPr>
                <w:highlight w:val="none"/>
              </w:rPr>
            </w:pPr>
            <w:r>
              <w:rPr>
                <w:rFonts w:hint="eastAsia"/>
                <w:b w:val="0"/>
                <w:bCs/>
                <w:highlight w:val="none"/>
              </w:rPr>
              <w:t>3</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69EB8CF7">
            <w:pPr>
              <w:pStyle w:val="25"/>
              <w:bidi w:val="0"/>
              <w:rPr>
                <w:highlight w:val="none"/>
              </w:rPr>
            </w:pPr>
            <w:r>
              <w:rPr>
                <w:rFonts w:hint="eastAsia"/>
                <w:b w:val="0"/>
                <w:bCs/>
                <w:highlight w:val="none"/>
              </w:rPr>
              <w:t>辽宁联合物流有限公司第一分公司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40A765FA">
            <w:pPr>
              <w:pStyle w:val="25"/>
              <w:bidi w:val="0"/>
              <w:rPr>
                <w:highlight w:val="none"/>
              </w:rPr>
            </w:pPr>
            <w:r>
              <w:rPr>
                <w:rFonts w:hint="eastAsia"/>
                <w:b w:val="0"/>
                <w:bCs/>
                <w:highlight w:val="none"/>
              </w:rPr>
              <w:t>道路货物运输</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6B9426FE">
            <w:pPr>
              <w:pStyle w:val="25"/>
              <w:bidi w:val="0"/>
              <w:rPr>
                <w:highlight w:val="none"/>
              </w:rPr>
            </w:pPr>
            <w:r>
              <w:rPr>
                <w:rFonts w:hint="eastAsia"/>
                <w:b w:val="0"/>
                <w:bCs/>
                <w:highlight w:val="none"/>
              </w:rPr>
              <w:t>彰武县两家子乡本街68号</w:t>
            </w:r>
          </w:p>
        </w:tc>
      </w:tr>
      <w:tr w14:paraId="67FD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228A6F74">
            <w:pPr>
              <w:pStyle w:val="25"/>
              <w:bidi w:val="0"/>
              <w:rPr>
                <w:highlight w:val="none"/>
              </w:rPr>
            </w:pPr>
            <w:r>
              <w:rPr>
                <w:rFonts w:hint="eastAsia"/>
                <w:b w:val="0"/>
                <w:bCs/>
                <w:highlight w:val="none"/>
              </w:rPr>
              <w:t>4</w:t>
            </w:r>
          </w:p>
        </w:tc>
        <w:tc>
          <w:tcPr>
            <w:tcW w:w="885"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2F8CA5BC">
            <w:pPr>
              <w:pStyle w:val="25"/>
              <w:bidi w:val="0"/>
              <w:rPr>
                <w:highlight w:val="none"/>
              </w:rPr>
            </w:pPr>
            <w:r>
              <w:rPr>
                <w:rFonts w:hint="eastAsia"/>
                <w:b w:val="0"/>
                <w:bCs/>
                <w:highlight w:val="none"/>
              </w:rPr>
              <w:t>彰武顺通物流有限公司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342EAF33">
            <w:pPr>
              <w:pStyle w:val="25"/>
              <w:bidi w:val="0"/>
              <w:rPr>
                <w:highlight w:val="none"/>
              </w:rPr>
            </w:pPr>
            <w:r>
              <w:rPr>
                <w:rFonts w:hint="eastAsia"/>
                <w:b w:val="0"/>
                <w:bCs/>
                <w:highlight w:val="none"/>
              </w:rPr>
              <w:t>普通货物道路运输</w:t>
            </w:r>
          </w:p>
        </w:tc>
        <w:tc>
          <w:tcPr>
            <w:tcW w:w="1602"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2F50A6B3">
            <w:pPr>
              <w:pStyle w:val="25"/>
              <w:bidi w:val="0"/>
              <w:rPr>
                <w:highlight w:val="none"/>
              </w:rPr>
            </w:pPr>
            <w:r>
              <w:rPr>
                <w:rFonts w:hint="eastAsia"/>
                <w:b w:val="0"/>
                <w:bCs/>
                <w:highlight w:val="none"/>
              </w:rPr>
              <w:t>辽宁省阜新市彰武县哈尔套镇西哈村二组</w:t>
            </w:r>
          </w:p>
        </w:tc>
      </w:tr>
      <w:tr w14:paraId="36B61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51990483">
            <w:pPr>
              <w:pStyle w:val="25"/>
              <w:bidi w:val="0"/>
              <w:rPr>
                <w:highlight w:val="none"/>
              </w:rPr>
            </w:pPr>
            <w:r>
              <w:rPr>
                <w:rFonts w:hint="eastAsia"/>
                <w:b w:val="0"/>
                <w:bCs/>
                <w:highlight w:val="none"/>
              </w:rPr>
              <w:t>5</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37B62E0D">
            <w:pPr>
              <w:pStyle w:val="25"/>
              <w:bidi w:val="0"/>
              <w:rPr>
                <w:highlight w:val="none"/>
              </w:rPr>
            </w:pPr>
            <w:r>
              <w:rPr>
                <w:rFonts w:hint="eastAsia"/>
                <w:b w:val="0"/>
                <w:bCs/>
                <w:highlight w:val="none"/>
              </w:rPr>
              <w:t>彰武安运物流有限公司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7DC1F753">
            <w:pPr>
              <w:pStyle w:val="25"/>
              <w:bidi w:val="0"/>
              <w:rPr>
                <w:highlight w:val="none"/>
              </w:rPr>
            </w:pPr>
            <w:r>
              <w:rPr>
                <w:rFonts w:hint="eastAsia"/>
                <w:b w:val="0"/>
                <w:bCs/>
                <w:highlight w:val="none"/>
              </w:rPr>
              <w:t>道路货物运输</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491A3BE6">
            <w:pPr>
              <w:pStyle w:val="25"/>
              <w:bidi w:val="0"/>
              <w:rPr>
                <w:highlight w:val="none"/>
              </w:rPr>
            </w:pPr>
            <w:r>
              <w:rPr>
                <w:rFonts w:hint="eastAsia"/>
                <w:b w:val="0"/>
                <w:bCs/>
                <w:highlight w:val="none"/>
              </w:rPr>
              <w:t>辽宁省阜新市彰武县冯家镇侯贝营子村北沟屯04号</w:t>
            </w:r>
          </w:p>
        </w:tc>
      </w:tr>
      <w:tr w14:paraId="02FDD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13179475">
            <w:pPr>
              <w:pStyle w:val="25"/>
              <w:bidi w:val="0"/>
              <w:rPr>
                <w:highlight w:val="none"/>
              </w:rPr>
            </w:pPr>
            <w:r>
              <w:rPr>
                <w:rFonts w:hint="eastAsia"/>
                <w:b w:val="0"/>
                <w:bCs/>
                <w:highlight w:val="none"/>
              </w:rPr>
              <w:t>6</w:t>
            </w:r>
          </w:p>
        </w:tc>
        <w:tc>
          <w:tcPr>
            <w:tcW w:w="885"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5E19F74F">
            <w:pPr>
              <w:pStyle w:val="25"/>
              <w:bidi w:val="0"/>
              <w:rPr>
                <w:highlight w:val="none"/>
              </w:rPr>
            </w:pPr>
            <w:r>
              <w:rPr>
                <w:rFonts w:hint="eastAsia"/>
                <w:b w:val="0"/>
                <w:bCs/>
                <w:highlight w:val="none"/>
              </w:rPr>
              <w:t>彰武胜通物流有限公司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255C4D56">
            <w:pPr>
              <w:pStyle w:val="25"/>
              <w:bidi w:val="0"/>
              <w:rPr>
                <w:highlight w:val="none"/>
              </w:rPr>
            </w:pPr>
            <w:r>
              <w:rPr>
                <w:rFonts w:hint="eastAsia"/>
                <w:b w:val="0"/>
                <w:bCs/>
                <w:highlight w:val="none"/>
              </w:rPr>
              <w:t>普通货物道路运输</w:t>
            </w:r>
          </w:p>
        </w:tc>
        <w:tc>
          <w:tcPr>
            <w:tcW w:w="1602"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6394E7B2">
            <w:pPr>
              <w:pStyle w:val="25"/>
              <w:bidi w:val="0"/>
              <w:rPr>
                <w:highlight w:val="none"/>
              </w:rPr>
            </w:pPr>
            <w:r>
              <w:rPr>
                <w:rFonts w:hint="eastAsia"/>
                <w:b w:val="0"/>
                <w:bCs/>
                <w:highlight w:val="none"/>
              </w:rPr>
              <w:t>辽宁省阜新市彰武县哈尔套镇本街18号</w:t>
            </w:r>
          </w:p>
        </w:tc>
      </w:tr>
      <w:tr w14:paraId="795A1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4763E72F">
            <w:pPr>
              <w:pStyle w:val="25"/>
              <w:bidi w:val="0"/>
              <w:rPr>
                <w:highlight w:val="none"/>
              </w:rPr>
            </w:pPr>
            <w:r>
              <w:rPr>
                <w:rFonts w:hint="eastAsia"/>
                <w:b w:val="0"/>
                <w:bCs/>
                <w:highlight w:val="none"/>
              </w:rPr>
              <w:t>7</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0EA76D9F">
            <w:pPr>
              <w:pStyle w:val="25"/>
              <w:bidi w:val="0"/>
              <w:rPr>
                <w:highlight w:val="none"/>
              </w:rPr>
            </w:pPr>
            <w:r>
              <w:rPr>
                <w:rFonts w:hint="eastAsia"/>
                <w:b w:val="0"/>
                <w:bCs/>
                <w:highlight w:val="none"/>
              </w:rPr>
              <w:t>辽宁天港国际物流有限公司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403A7211">
            <w:pPr>
              <w:pStyle w:val="25"/>
              <w:bidi w:val="0"/>
              <w:rPr>
                <w:highlight w:val="none"/>
              </w:rPr>
            </w:pPr>
            <w:r>
              <w:rPr>
                <w:rFonts w:hint="eastAsia"/>
                <w:b w:val="0"/>
                <w:bCs/>
                <w:highlight w:val="none"/>
              </w:rPr>
              <w:t>普通货运、货物专用运输（集装箱）</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6A52BFCE">
            <w:pPr>
              <w:pStyle w:val="25"/>
              <w:bidi w:val="0"/>
              <w:rPr>
                <w:highlight w:val="none"/>
              </w:rPr>
            </w:pPr>
            <w:r>
              <w:rPr>
                <w:rFonts w:hint="eastAsia"/>
                <w:b w:val="0"/>
                <w:bCs/>
                <w:highlight w:val="none"/>
              </w:rPr>
              <w:t>辽宁省阜新市彰武县建华路39-2号8门</w:t>
            </w:r>
          </w:p>
        </w:tc>
      </w:tr>
      <w:tr w14:paraId="128E6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13B3D130">
            <w:pPr>
              <w:pStyle w:val="25"/>
              <w:bidi w:val="0"/>
              <w:rPr>
                <w:highlight w:val="none"/>
              </w:rPr>
            </w:pPr>
            <w:r>
              <w:rPr>
                <w:rFonts w:hint="eastAsia"/>
                <w:b w:val="0"/>
                <w:bCs/>
                <w:highlight w:val="none"/>
              </w:rPr>
              <w:t>8</w:t>
            </w:r>
          </w:p>
        </w:tc>
        <w:tc>
          <w:tcPr>
            <w:tcW w:w="885"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41F09F3A">
            <w:pPr>
              <w:pStyle w:val="25"/>
              <w:bidi w:val="0"/>
              <w:rPr>
                <w:highlight w:val="none"/>
              </w:rPr>
            </w:pPr>
            <w:r>
              <w:rPr>
                <w:rFonts w:hint="eastAsia"/>
                <w:b w:val="0"/>
                <w:bCs/>
                <w:highlight w:val="none"/>
              </w:rPr>
              <w:t>彰武鑫顺通达物流有限公司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38D481A6">
            <w:pPr>
              <w:pStyle w:val="25"/>
              <w:bidi w:val="0"/>
              <w:rPr>
                <w:highlight w:val="none"/>
              </w:rPr>
            </w:pPr>
            <w:r>
              <w:rPr>
                <w:rFonts w:hint="eastAsia"/>
                <w:b w:val="0"/>
                <w:bCs/>
                <w:highlight w:val="none"/>
              </w:rPr>
              <w:t>普通货运；货物包装、装卸、搬运服务；仓储保管服务（不含危险物品）</w:t>
            </w:r>
          </w:p>
        </w:tc>
        <w:tc>
          <w:tcPr>
            <w:tcW w:w="1602"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75030BD5">
            <w:pPr>
              <w:pStyle w:val="25"/>
              <w:bidi w:val="0"/>
              <w:rPr>
                <w:highlight w:val="none"/>
              </w:rPr>
            </w:pPr>
            <w:r>
              <w:rPr>
                <w:rFonts w:hint="eastAsia"/>
                <w:b w:val="0"/>
                <w:bCs/>
                <w:highlight w:val="none"/>
              </w:rPr>
              <w:t>辽宁省阜新市彰武县仁和街10-1号</w:t>
            </w:r>
          </w:p>
        </w:tc>
      </w:tr>
      <w:tr w14:paraId="0C5D4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691157C6">
            <w:pPr>
              <w:pStyle w:val="25"/>
              <w:bidi w:val="0"/>
              <w:rPr>
                <w:highlight w:val="none"/>
              </w:rPr>
            </w:pPr>
            <w:r>
              <w:rPr>
                <w:rFonts w:hint="eastAsia"/>
                <w:b w:val="0"/>
                <w:bCs/>
                <w:highlight w:val="none"/>
              </w:rPr>
              <w:t>9</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4591E9DE">
            <w:pPr>
              <w:pStyle w:val="25"/>
              <w:bidi w:val="0"/>
              <w:rPr>
                <w:highlight w:val="none"/>
              </w:rPr>
            </w:pPr>
            <w:r>
              <w:rPr>
                <w:rFonts w:hint="eastAsia"/>
                <w:b w:val="0"/>
                <w:bCs/>
                <w:highlight w:val="none"/>
              </w:rPr>
              <w:t>辽宁双汇物流有限公司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3DC0628F">
            <w:pPr>
              <w:pStyle w:val="25"/>
              <w:bidi w:val="0"/>
              <w:rPr>
                <w:highlight w:val="none"/>
              </w:rPr>
            </w:pPr>
            <w:r>
              <w:rPr>
                <w:rFonts w:hint="eastAsia"/>
                <w:b w:val="0"/>
                <w:bCs/>
                <w:highlight w:val="none"/>
              </w:rPr>
              <w:t>道路货物运输（不含危险货物），食品经营，道路货物运输（网络货运）</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1C48219F">
            <w:pPr>
              <w:pStyle w:val="25"/>
              <w:bidi w:val="0"/>
              <w:rPr>
                <w:highlight w:val="none"/>
              </w:rPr>
            </w:pPr>
            <w:r>
              <w:rPr>
                <w:rFonts w:hint="eastAsia"/>
                <w:b w:val="0"/>
                <w:bCs/>
                <w:highlight w:val="none"/>
              </w:rPr>
              <w:t>辽宁省阜新彰武县人民大街60号</w:t>
            </w:r>
          </w:p>
        </w:tc>
      </w:tr>
      <w:tr w14:paraId="37187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15F1E435">
            <w:pPr>
              <w:pStyle w:val="25"/>
              <w:bidi w:val="0"/>
              <w:rPr>
                <w:highlight w:val="none"/>
              </w:rPr>
            </w:pPr>
            <w:r>
              <w:rPr>
                <w:rFonts w:hint="eastAsia"/>
                <w:b w:val="0"/>
                <w:bCs/>
                <w:highlight w:val="none"/>
              </w:rPr>
              <w:t>10</w:t>
            </w:r>
          </w:p>
        </w:tc>
        <w:tc>
          <w:tcPr>
            <w:tcW w:w="885"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718C13AF">
            <w:pPr>
              <w:pStyle w:val="25"/>
              <w:bidi w:val="0"/>
              <w:rPr>
                <w:highlight w:val="none"/>
              </w:rPr>
            </w:pPr>
            <w:r>
              <w:rPr>
                <w:rFonts w:hint="eastAsia"/>
                <w:b w:val="0"/>
                <w:bCs/>
                <w:highlight w:val="none"/>
              </w:rPr>
              <w:t>辽宁鑫瑞达物流有限公司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3C8AB6AF">
            <w:pPr>
              <w:pStyle w:val="25"/>
              <w:bidi w:val="0"/>
              <w:rPr>
                <w:highlight w:val="none"/>
              </w:rPr>
            </w:pPr>
            <w:r>
              <w:rPr>
                <w:rFonts w:hint="eastAsia"/>
                <w:b w:val="0"/>
                <w:bCs/>
                <w:highlight w:val="none"/>
              </w:rPr>
              <w:t>普通货物道路运输；大型货物道路运输；冷藏车道路运输；土石方工程、矿山工程、路桥工程施工；劳务服务。</w:t>
            </w:r>
          </w:p>
        </w:tc>
        <w:tc>
          <w:tcPr>
            <w:tcW w:w="1602" w:type="pct"/>
            <w:tcBorders>
              <w:top w:val="dotted" w:color="auto" w:sz="4" w:space="0"/>
              <w:left w:val="dotted" w:color="auto" w:sz="4" w:space="0"/>
              <w:bottom w:val="dotted" w:color="auto" w:sz="4" w:space="0"/>
              <w:right w:val="dotted" w:color="auto" w:sz="4" w:space="0"/>
            </w:tcBorders>
            <w:shd w:val="clear" w:color="auto" w:fill="D2E6F7"/>
            <w:tcMar>
              <w:top w:w="15" w:type="dxa"/>
              <w:left w:w="15" w:type="dxa"/>
              <w:right w:w="15" w:type="dxa"/>
            </w:tcMar>
            <w:vAlign w:val="center"/>
          </w:tcPr>
          <w:p w14:paraId="59B49436">
            <w:pPr>
              <w:pStyle w:val="25"/>
              <w:bidi w:val="0"/>
              <w:rPr>
                <w:highlight w:val="none"/>
              </w:rPr>
            </w:pPr>
            <w:r>
              <w:rPr>
                <w:rFonts w:hint="eastAsia"/>
                <w:b w:val="0"/>
                <w:bCs/>
                <w:highlight w:val="none"/>
              </w:rPr>
              <w:t>辽宁省阜新市彰武县兴工路66#楼66-11号</w:t>
            </w:r>
          </w:p>
        </w:tc>
      </w:tr>
      <w:tr w14:paraId="035CC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dotted" w:color="auto" w:sz="4" w:space="0"/>
              <w:right w:val="dotted" w:color="auto" w:sz="4" w:space="0"/>
            </w:tcBorders>
            <w:shd w:val="clear" w:color="auto" w:fill="9BC6ED"/>
            <w:tcMar>
              <w:top w:w="15" w:type="dxa"/>
              <w:left w:w="15" w:type="dxa"/>
              <w:right w:w="15" w:type="dxa"/>
            </w:tcMar>
            <w:vAlign w:val="center"/>
          </w:tcPr>
          <w:p w14:paraId="5B526730">
            <w:pPr>
              <w:pStyle w:val="25"/>
              <w:bidi w:val="0"/>
              <w:rPr>
                <w:highlight w:val="none"/>
              </w:rPr>
            </w:pPr>
            <w:r>
              <w:rPr>
                <w:rFonts w:hint="eastAsia"/>
                <w:b w:val="0"/>
                <w:bCs/>
                <w:highlight w:val="none"/>
              </w:rPr>
              <w:t>11</w:t>
            </w:r>
          </w:p>
        </w:tc>
        <w:tc>
          <w:tcPr>
            <w:tcW w:w="885"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53FD7901">
            <w:pPr>
              <w:pStyle w:val="25"/>
              <w:bidi w:val="0"/>
              <w:rPr>
                <w:highlight w:val="none"/>
              </w:rPr>
            </w:pPr>
            <w:r>
              <w:rPr>
                <w:rFonts w:hint="eastAsia"/>
                <w:b w:val="0"/>
                <w:bCs/>
                <w:highlight w:val="none"/>
              </w:rPr>
              <w:t>彰武宏成物流有限公司</w:t>
            </w:r>
          </w:p>
        </w:tc>
        <w:tc>
          <w:tcPr>
            <w:tcW w:w="2079"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2168A8EC">
            <w:pPr>
              <w:pStyle w:val="25"/>
              <w:bidi w:val="0"/>
              <w:rPr>
                <w:highlight w:val="none"/>
              </w:rPr>
            </w:pPr>
            <w:r>
              <w:rPr>
                <w:rFonts w:hint="eastAsia"/>
                <w:b w:val="0"/>
                <w:bCs/>
                <w:highlight w:val="none"/>
              </w:rPr>
              <w:t>生鲜乳道路运输</w:t>
            </w:r>
          </w:p>
        </w:tc>
        <w:tc>
          <w:tcPr>
            <w:tcW w:w="1602" w:type="pct"/>
            <w:tcBorders>
              <w:top w:val="dotted" w:color="auto" w:sz="4" w:space="0"/>
              <w:left w:val="dotted" w:color="auto" w:sz="4" w:space="0"/>
              <w:bottom w:val="dotted" w:color="auto" w:sz="4" w:space="0"/>
              <w:right w:val="dotted" w:color="auto" w:sz="4" w:space="0"/>
            </w:tcBorders>
            <w:shd w:val="clear" w:color="auto" w:fill="EEF6FC"/>
            <w:tcMar>
              <w:top w:w="15" w:type="dxa"/>
              <w:left w:w="15" w:type="dxa"/>
              <w:right w:w="15" w:type="dxa"/>
            </w:tcMar>
            <w:vAlign w:val="center"/>
          </w:tcPr>
          <w:p w14:paraId="42922DBA">
            <w:pPr>
              <w:pStyle w:val="25"/>
              <w:bidi w:val="0"/>
              <w:rPr>
                <w:highlight w:val="none"/>
              </w:rPr>
            </w:pPr>
            <w:r>
              <w:rPr>
                <w:rFonts w:hint="eastAsia"/>
                <w:b w:val="0"/>
                <w:bCs/>
                <w:highlight w:val="none"/>
              </w:rPr>
              <w:t>辽宁省阜新市彰武县哈尔套镇东村三组10</w:t>
            </w:r>
          </w:p>
        </w:tc>
      </w:tr>
      <w:tr w14:paraId="6581B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432" w:type="pct"/>
            <w:tcBorders>
              <w:top w:val="dotted" w:color="auto" w:sz="4" w:space="0"/>
              <w:left w:val="dotted" w:color="auto" w:sz="4" w:space="0"/>
              <w:bottom w:val="single" w:color="4D9CDF" w:sz="4" w:space="0"/>
              <w:right w:val="dotted" w:color="auto" w:sz="4" w:space="0"/>
            </w:tcBorders>
            <w:shd w:val="clear" w:color="auto" w:fill="9BC6ED"/>
            <w:tcMar>
              <w:top w:w="15" w:type="dxa"/>
              <w:left w:w="15" w:type="dxa"/>
              <w:right w:w="15" w:type="dxa"/>
            </w:tcMar>
            <w:vAlign w:val="center"/>
          </w:tcPr>
          <w:p w14:paraId="3012EB59">
            <w:pPr>
              <w:pStyle w:val="25"/>
              <w:bidi w:val="0"/>
              <w:rPr>
                <w:highlight w:val="none"/>
              </w:rPr>
            </w:pPr>
            <w:r>
              <w:rPr>
                <w:rFonts w:hint="eastAsia"/>
                <w:b w:val="0"/>
                <w:bCs/>
                <w:highlight w:val="none"/>
              </w:rPr>
              <w:t>12</w:t>
            </w:r>
          </w:p>
        </w:tc>
        <w:tc>
          <w:tcPr>
            <w:tcW w:w="885" w:type="pct"/>
            <w:tcBorders>
              <w:top w:val="dotted" w:color="auto" w:sz="4" w:space="0"/>
              <w:left w:val="dotted" w:color="auto" w:sz="4" w:space="0"/>
              <w:bottom w:val="single" w:color="4D9CDF" w:sz="4" w:space="0"/>
              <w:right w:val="dotted" w:color="auto" w:sz="4" w:space="0"/>
            </w:tcBorders>
            <w:shd w:val="clear" w:color="auto" w:fill="D2E6F7"/>
            <w:tcMar>
              <w:top w:w="15" w:type="dxa"/>
              <w:left w:w="15" w:type="dxa"/>
              <w:right w:w="15" w:type="dxa"/>
            </w:tcMar>
            <w:vAlign w:val="center"/>
          </w:tcPr>
          <w:p w14:paraId="4DF35449">
            <w:pPr>
              <w:pStyle w:val="25"/>
              <w:bidi w:val="0"/>
              <w:rPr>
                <w:highlight w:val="none"/>
              </w:rPr>
            </w:pPr>
            <w:r>
              <w:rPr>
                <w:rFonts w:hint="eastAsia"/>
                <w:b w:val="0"/>
                <w:bCs/>
                <w:highlight w:val="none"/>
              </w:rPr>
              <w:t>彰武县磊子物流有限公司</w:t>
            </w:r>
          </w:p>
        </w:tc>
        <w:tc>
          <w:tcPr>
            <w:tcW w:w="2079" w:type="pct"/>
            <w:tcBorders>
              <w:top w:val="dotted" w:color="auto" w:sz="4" w:space="0"/>
              <w:left w:val="dotted" w:color="auto" w:sz="4" w:space="0"/>
              <w:bottom w:val="single" w:color="4D9CDF" w:sz="4" w:space="0"/>
              <w:right w:val="dotted" w:color="auto" w:sz="4" w:space="0"/>
            </w:tcBorders>
            <w:shd w:val="clear" w:color="auto" w:fill="D2E6F7"/>
            <w:tcMar>
              <w:top w:w="15" w:type="dxa"/>
              <w:left w:w="15" w:type="dxa"/>
              <w:right w:w="15" w:type="dxa"/>
            </w:tcMar>
            <w:vAlign w:val="center"/>
          </w:tcPr>
          <w:p w14:paraId="168448F3">
            <w:pPr>
              <w:pStyle w:val="25"/>
              <w:bidi w:val="0"/>
              <w:rPr>
                <w:highlight w:val="none"/>
              </w:rPr>
            </w:pPr>
            <w:r>
              <w:rPr>
                <w:rFonts w:hint="eastAsia"/>
                <w:b w:val="0"/>
                <w:bCs/>
                <w:highlight w:val="none"/>
              </w:rPr>
              <w:t>普通货物道路运输；空车配货；零担货物运输；道路运输联运代理</w:t>
            </w:r>
          </w:p>
        </w:tc>
        <w:tc>
          <w:tcPr>
            <w:tcW w:w="1602" w:type="pct"/>
            <w:tcBorders>
              <w:top w:val="dotted" w:color="auto" w:sz="4" w:space="0"/>
              <w:left w:val="dotted" w:color="auto" w:sz="4" w:space="0"/>
              <w:bottom w:val="single" w:color="4D9CDF" w:sz="4" w:space="0"/>
              <w:right w:val="dotted" w:color="auto" w:sz="4" w:space="0"/>
            </w:tcBorders>
            <w:shd w:val="clear" w:color="auto" w:fill="D2E6F7"/>
            <w:tcMar>
              <w:top w:w="15" w:type="dxa"/>
              <w:left w:w="15" w:type="dxa"/>
              <w:right w:w="15" w:type="dxa"/>
            </w:tcMar>
            <w:vAlign w:val="center"/>
          </w:tcPr>
          <w:p w14:paraId="441A6853">
            <w:pPr>
              <w:pStyle w:val="25"/>
              <w:bidi w:val="0"/>
              <w:rPr>
                <w:highlight w:val="none"/>
              </w:rPr>
            </w:pPr>
            <w:r>
              <w:rPr>
                <w:rFonts w:hint="eastAsia"/>
                <w:b w:val="0"/>
                <w:bCs/>
                <w:highlight w:val="none"/>
              </w:rPr>
              <w:t>辽宁省阜新市彰武县前福兴地镇本街78号</w:t>
            </w:r>
          </w:p>
        </w:tc>
      </w:tr>
    </w:tbl>
    <w:p w14:paraId="199007A6">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2</w:t>
      </w:r>
      <w:r>
        <w:fldChar w:fldCharType="end"/>
      </w:r>
      <w:r>
        <w:rPr>
          <w:rFonts w:hint="eastAsia"/>
          <w:lang w:val="en-US" w:eastAsia="zh-CN"/>
        </w:rPr>
        <w:t xml:space="preserve"> </w:t>
      </w:r>
      <w:r>
        <w:rPr>
          <w:rFonts w:hint="default"/>
          <w:highlight w:val="none"/>
          <w:lang w:val="en-US" w:eastAsia="zh-CN"/>
        </w:rPr>
        <w:t>彰武县</w:t>
      </w:r>
      <w:r>
        <w:rPr>
          <w:rFonts w:hint="eastAsia"/>
          <w:highlight w:val="none"/>
          <w:lang w:val="en-US" w:eastAsia="zh-CN"/>
        </w:rPr>
        <w:t>规模以上</w:t>
      </w:r>
      <w:r>
        <w:rPr>
          <w:rFonts w:hint="default"/>
          <w:highlight w:val="none"/>
          <w:lang w:val="en-US" w:eastAsia="zh-CN"/>
        </w:rPr>
        <w:t>工业产品出货量统计表</w:t>
      </w: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1"/>
        <w:gridCol w:w="1404"/>
        <w:gridCol w:w="2244"/>
        <w:gridCol w:w="4000"/>
      </w:tblGrid>
      <w:tr w14:paraId="33DFD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1" w:type="pct"/>
            <w:tcBorders>
              <w:top w:val="single" w:color="4D9CDF" w:sz="4" w:space="0"/>
              <w:left w:val="dotted" w:color="auto" w:sz="4" w:space="0"/>
              <w:bottom w:val="dotted" w:color="auto" w:sz="4" w:space="0"/>
              <w:right w:val="dotted" w:color="auto" w:sz="4" w:space="0"/>
            </w:tcBorders>
            <w:shd w:val="clear" w:color="auto" w:fill="9BC6ED"/>
            <w:vAlign w:val="center"/>
          </w:tcPr>
          <w:p w14:paraId="7010C675">
            <w:pPr>
              <w:pStyle w:val="25"/>
              <w:bidi w:val="0"/>
              <w:rPr>
                <w:highlight w:val="none"/>
              </w:rPr>
            </w:pPr>
            <w:r>
              <w:rPr>
                <w:rFonts w:hint="eastAsia"/>
                <w:highlight w:val="none"/>
                <w:lang w:val="en-US" w:eastAsia="zh-CN"/>
              </w:rPr>
              <w:t>序号</w:t>
            </w:r>
          </w:p>
        </w:tc>
        <w:tc>
          <w:tcPr>
            <w:tcW w:w="824" w:type="pct"/>
            <w:tcBorders>
              <w:top w:val="single" w:color="4D9CDF" w:sz="4" w:space="0"/>
              <w:left w:val="dotted" w:color="auto" w:sz="4" w:space="0"/>
              <w:bottom w:val="dotted" w:color="auto" w:sz="4" w:space="0"/>
              <w:right w:val="dotted" w:color="auto" w:sz="4" w:space="0"/>
            </w:tcBorders>
            <w:shd w:val="clear" w:color="auto" w:fill="9BC6ED"/>
            <w:vAlign w:val="center"/>
          </w:tcPr>
          <w:p w14:paraId="17C1E359">
            <w:pPr>
              <w:pStyle w:val="25"/>
              <w:bidi w:val="0"/>
              <w:rPr>
                <w:rFonts w:hint="eastAsia"/>
                <w:highlight w:val="none"/>
              </w:rPr>
            </w:pPr>
            <w:r>
              <w:rPr>
                <w:rFonts w:hint="eastAsia"/>
                <w:highlight w:val="none"/>
                <w:lang w:val="en-US" w:eastAsia="zh-CN"/>
              </w:rPr>
              <w:t>产品类别</w:t>
            </w:r>
          </w:p>
        </w:tc>
        <w:tc>
          <w:tcPr>
            <w:tcW w:w="1317" w:type="pct"/>
            <w:tcBorders>
              <w:top w:val="single" w:color="4D9CDF" w:sz="4" w:space="0"/>
              <w:left w:val="dotted" w:color="auto" w:sz="4" w:space="0"/>
              <w:bottom w:val="dotted" w:color="auto" w:sz="4" w:space="0"/>
              <w:right w:val="dotted" w:color="auto" w:sz="4" w:space="0"/>
            </w:tcBorders>
            <w:shd w:val="clear" w:color="auto" w:fill="9BC6ED"/>
            <w:vAlign w:val="center"/>
          </w:tcPr>
          <w:p w14:paraId="3DD1190E">
            <w:pPr>
              <w:pStyle w:val="25"/>
              <w:bidi w:val="0"/>
              <w:rPr>
                <w:rFonts w:hint="eastAsia"/>
                <w:highlight w:val="none"/>
              </w:rPr>
            </w:pPr>
            <w:r>
              <w:rPr>
                <w:rFonts w:hint="eastAsia"/>
                <w:highlight w:val="none"/>
                <w:lang w:val="en-US" w:eastAsia="zh-CN"/>
              </w:rPr>
              <w:t>出货量（万吨/年）</w:t>
            </w:r>
          </w:p>
        </w:tc>
        <w:tc>
          <w:tcPr>
            <w:tcW w:w="2347" w:type="pct"/>
            <w:tcBorders>
              <w:top w:val="single" w:color="4D9CDF" w:sz="4" w:space="0"/>
              <w:left w:val="dotted" w:color="auto" w:sz="4" w:space="0"/>
              <w:bottom w:val="dotted" w:color="auto" w:sz="4" w:space="0"/>
              <w:right w:val="dotted" w:color="auto" w:sz="4" w:space="0"/>
            </w:tcBorders>
            <w:shd w:val="clear" w:color="auto" w:fill="9BC6ED"/>
            <w:vAlign w:val="center"/>
          </w:tcPr>
          <w:p w14:paraId="7D056B13">
            <w:pPr>
              <w:pStyle w:val="25"/>
              <w:bidi w:val="0"/>
              <w:rPr>
                <w:rFonts w:hint="eastAsia"/>
                <w:highlight w:val="none"/>
              </w:rPr>
            </w:pPr>
            <w:r>
              <w:rPr>
                <w:rFonts w:hint="eastAsia"/>
                <w:highlight w:val="none"/>
                <w:lang w:val="en-US" w:eastAsia="zh-CN"/>
              </w:rPr>
              <w:t>出货地</w:t>
            </w:r>
          </w:p>
        </w:tc>
      </w:tr>
      <w:tr w14:paraId="4A495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61A42747">
            <w:pPr>
              <w:pStyle w:val="25"/>
              <w:bidi w:val="0"/>
              <w:rPr>
                <w:rFonts w:hint="eastAsia"/>
                <w:highlight w:val="none"/>
              </w:rPr>
            </w:pPr>
            <w:r>
              <w:rPr>
                <w:rFonts w:hint="eastAsia"/>
                <w:highlight w:val="none"/>
                <w:lang w:val="en-US" w:eastAsia="zh-CN"/>
              </w:rPr>
              <w:t>1</w:t>
            </w:r>
          </w:p>
        </w:tc>
        <w:tc>
          <w:tcPr>
            <w:tcW w:w="824" w:type="pct"/>
            <w:tcBorders>
              <w:top w:val="dotted" w:color="auto" w:sz="4" w:space="0"/>
              <w:left w:val="dotted" w:color="auto" w:sz="4" w:space="0"/>
              <w:bottom w:val="dotted" w:color="auto" w:sz="4" w:space="0"/>
              <w:right w:val="dotted" w:color="auto" w:sz="4" w:space="0"/>
            </w:tcBorders>
            <w:shd w:val="clear" w:color="auto" w:fill="EEF6FC"/>
            <w:vAlign w:val="center"/>
          </w:tcPr>
          <w:p w14:paraId="33A32082">
            <w:pPr>
              <w:pStyle w:val="25"/>
              <w:bidi w:val="0"/>
              <w:rPr>
                <w:rFonts w:hint="eastAsia"/>
                <w:highlight w:val="none"/>
              </w:rPr>
            </w:pPr>
            <w:r>
              <w:rPr>
                <w:rFonts w:hint="eastAsia"/>
                <w:highlight w:val="none"/>
                <w:lang w:val="en-US" w:eastAsia="zh-CN"/>
              </w:rPr>
              <w:t>饲料</w:t>
            </w:r>
          </w:p>
        </w:tc>
        <w:tc>
          <w:tcPr>
            <w:tcW w:w="1317" w:type="pct"/>
            <w:tcBorders>
              <w:top w:val="dotted" w:color="auto" w:sz="4" w:space="0"/>
              <w:left w:val="dotted" w:color="auto" w:sz="4" w:space="0"/>
              <w:bottom w:val="dotted" w:color="auto" w:sz="4" w:space="0"/>
              <w:right w:val="dotted" w:color="auto" w:sz="4" w:space="0"/>
            </w:tcBorders>
            <w:shd w:val="clear" w:color="auto" w:fill="EEF6FC"/>
            <w:vAlign w:val="center"/>
          </w:tcPr>
          <w:p w14:paraId="0E96F6DC">
            <w:pPr>
              <w:pStyle w:val="25"/>
              <w:bidi w:val="0"/>
              <w:rPr>
                <w:rFonts w:hint="eastAsia"/>
                <w:highlight w:val="none"/>
              </w:rPr>
            </w:pPr>
            <w:r>
              <w:rPr>
                <w:rFonts w:hint="eastAsia"/>
                <w:highlight w:val="none"/>
                <w:lang w:val="en-US" w:eastAsia="zh-CN"/>
              </w:rPr>
              <w:t xml:space="preserve">68.0 </w:t>
            </w:r>
          </w:p>
        </w:tc>
        <w:tc>
          <w:tcPr>
            <w:tcW w:w="2347" w:type="pct"/>
            <w:tcBorders>
              <w:top w:val="dotted" w:color="auto" w:sz="4" w:space="0"/>
              <w:left w:val="dotted" w:color="auto" w:sz="4" w:space="0"/>
              <w:bottom w:val="dotted" w:color="auto" w:sz="4" w:space="0"/>
              <w:right w:val="dotted" w:color="auto" w:sz="4" w:space="0"/>
            </w:tcBorders>
            <w:shd w:val="clear" w:color="auto" w:fill="EEF6FC"/>
            <w:vAlign w:val="center"/>
          </w:tcPr>
          <w:p w14:paraId="102ECCCA">
            <w:pPr>
              <w:pStyle w:val="25"/>
              <w:bidi w:val="0"/>
              <w:rPr>
                <w:rFonts w:hint="eastAsia"/>
                <w:highlight w:val="none"/>
              </w:rPr>
            </w:pPr>
            <w:r>
              <w:rPr>
                <w:rFonts w:hint="eastAsia"/>
                <w:highlight w:val="none"/>
                <w:lang w:val="en-US" w:eastAsia="zh-CN"/>
              </w:rPr>
              <w:t>满堂红镇、开发区</w:t>
            </w:r>
          </w:p>
        </w:tc>
      </w:tr>
      <w:tr w14:paraId="0FCEF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35AFDE3A">
            <w:pPr>
              <w:pStyle w:val="25"/>
              <w:bidi w:val="0"/>
              <w:rPr>
                <w:rFonts w:hint="eastAsia"/>
                <w:highlight w:val="none"/>
              </w:rPr>
            </w:pPr>
            <w:r>
              <w:rPr>
                <w:rFonts w:hint="eastAsia"/>
                <w:highlight w:val="none"/>
                <w:lang w:val="en-US" w:eastAsia="zh-CN"/>
              </w:rPr>
              <w:t>2</w:t>
            </w:r>
          </w:p>
        </w:tc>
        <w:tc>
          <w:tcPr>
            <w:tcW w:w="824" w:type="pct"/>
            <w:tcBorders>
              <w:top w:val="dotted" w:color="auto" w:sz="4" w:space="0"/>
              <w:left w:val="dotted" w:color="auto" w:sz="4" w:space="0"/>
              <w:bottom w:val="dotted" w:color="auto" w:sz="4" w:space="0"/>
              <w:right w:val="dotted" w:color="auto" w:sz="4" w:space="0"/>
            </w:tcBorders>
            <w:shd w:val="clear" w:color="auto" w:fill="D2E6F7"/>
            <w:vAlign w:val="center"/>
          </w:tcPr>
          <w:p w14:paraId="752DBAE6">
            <w:pPr>
              <w:pStyle w:val="25"/>
              <w:bidi w:val="0"/>
              <w:rPr>
                <w:rFonts w:hint="eastAsia"/>
                <w:highlight w:val="none"/>
              </w:rPr>
            </w:pPr>
            <w:r>
              <w:rPr>
                <w:rFonts w:hint="eastAsia"/>
                <w:highlight w:val="none"/>
                <w:lang w:val="en-US" w:eastAsia="zh-CN"/>
              </w:rPr>
              <w:t>掺混肥</w:t>
            </w:r>
          </w:p>
        </w:tc>
        <w:tc>
          <w:tcPr>
            <w:tcW w:w="1317" w:type="pct"/>
            <w:tcBorders>
              <w:top w:val="dotted" w:color="auto" w:sz="4" w:space="0"/>
              <w:left w:val="dotted" w:color="auto" w:sz="4" w:space="0"/>
              <w:bottom w:val="dotted" w:color="auto" w:sz="4" w:space="0"/>
              <w:right w:val="dotted" w:color="auto" w:sz="4" w:space="0"/>
            </w:tcBorders>
            <w:shd w:val="clear" w:color="auto" w:fill="D2E6F7"/>
            <w:vAlign w:val="center"/>
          </w:tcPr>
          <w:p w14:paraId="36AE06A1">
            <w:pPr>
              <w:pStyle w:val="25"/>
              <w:bidi w:val="0"/>
              <w:rPr>
                <w:rFonts w:hint="eastAsia"/>
                <w:highlight w:val="none"/>
              </w:rPr>
            </w:pPr>
            <w:r>
              <w:rPr>
                <w:rFonts w:hint="eastAsia"/>
                <w:highlight w:val="none"/>
                <w:lang w:val="en-US" w:eastAsia="zh-CN"/>
              </w:rPr>
              <w:t xml:space="preserve">22.4 </w:t>
            </w:r>
          </w:p>
        </w:tc>
        <w:tc>
          <w:tcPr>
            <w:tcW w:w="2347" w:type="pct"/>
            <w:tcBorders>
              <w:top w:val="dotted" w:color="auto" w:sz="4" w:space="0"/>
              <w:left w:val="dotted" w:color="auto" w:sz="4" w:space="0"/>
              <w:bottom w:val="dotted" w:color="auto" w:sz="4" w:space="0"/>
              <w:right w:val="dotted" w:color="auto" w:sz="4" w:space="0"/>
            </w:tcBorders>
            <w:shd w:val="clear" w:color="auto" w:fill="D2E6F7"/>
            <w:vAlign w:val="center"/>
          </w:tcPr>
          <w:p w14:paraId="524CB4AF">
            <w:pPr>
              <w:pStyle w:val="25"/>
              <w:bidi w:val="0"/>
              <w:rPr>
                <w:rFonts w:hint="eastAsia"/>
                <w:highlight w:val="none"/>
              </w:rPr>
            </w:pPr>
            <w:r>
              <w:rPr>
                <w:rFonts w:hint="eastAsia"/>
                <w:highlight w:val="none"/>
                <w:lang w:val="en-US" w:eastAsia="zh-CN"/>
              </w:rPr>
              <w:t>兴隆山镇、彰武镇、开发区</w:t>
            </w:r>
          </w:p>
        </w:tc>
      </w:tr>
      <w:tr w14:paraId="24872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5F0EBBA4">
            <w:pPr>
              <w:pStyle w:val="25"/>
              <w:bidi w:val="0"/>
              <w:rPr>
                <w:rFonts w:hint="eastAsia"/>
                <w:highlight w:val="none"/>
              </w:rPr>
            </w:pPr>
            <w:r>
              <w:rPr>
                <w:rFonts w:hint="eastAsia"/>
                <w:highlight w:val="none"/>
                <w:lang w:val="en-US" w:eastAsia="zh-CN"/>
              </w:rPr>
              <w:t>3</w:t>
            </w:r>
          </w:p>
        </w:tc>
        <w:tc>
          <w:tcPr>
            <w:tcW w:w="824" w:type="pct"/>
            <w:tcBorders>
              <w:top w:val="dotted" w:color="auto" w:sz="4" w:space="0"/>
              <w:left w:val="dotted" w:color="auto" w:sz="4" w:space="0"/>
              <w:bottom w:val="dotted" w:color="auto" w:sz="4" w:space="0"/>
              <w:right w:val="dotted" w:color="auto" w:sz="4" w:space="0"/>
            </w:tcBorders>
            <w:shd w:val="clear" w:color="auto" w:fill="EEF6FC"/>
            <w:vAlign w:val="center"/>
          </w:tcPr>
          <w:p w14:paraId="62D78106">
            <w:pPr>
              <w:pStyle w:val="25"/>
              <w:bidi w:val="0"/>
              <w:rPr>
                <w:rFonts w:hint="eastAsia"/>
                <w:highlight w:val="none"/>
              </w:rPr>
            </w:pPr>
            <w:r>
              <w:rPr>
                <w:rFonts w:hint="eastAsia"/>
                <w:highlight w:val="none"/>
                <w:lang w:val="en-US" w:eastAsia="zh-CN"/>
              </w:rPr>
              <w:t>冷冻食品</w:t>
            </w:r>
          </w:p>
        </w:tc>
        <w:tc>
          <w:tcPr>
            <w:tcW w:w="1317" w:type="pct"/>
            <w:tcBorders>
              <w:top w:val="dotted" w:color="auto" w:sz="4" w:space="0"/>
              <w:left w:val="dotted" w:color="auto" w:sz="4" w:space="0"/>
              <w:bottom w:val="dotted" w:color="auto" w:sz="4" w:space="0"/>
              <w:right w:val="dotted" w:color="auto" w:sz="4" w:space="0"/>
            </w:tcBorders>
            <w:shd w:val="clear" w:color="auto" w:fill="EEF6FC"/>
            <w:vAlign w:val="center"/>
          </w:tcPr>
          <w:p w14:paraId="2CBD4F68">
            <w:pPr>
              <w:pStyle w:val="25"/>
              <w:bidi w:val="0"/>
              <w:rPr>
                <w:rFonts w:hint="eastAsia"/>
                <w:highlight w:val="none"/>
              </w:rPr>
            </w:pPr>
            <w:r>
              <w:rPr>
                <w:rFonts w:hint="eastAsia"/>
                <w:highlight w:val="none"/>
                <w:lang w:val="en-US" w:eastAsia="zh-CN"/>
              </w:rPr>
              <w:t xml:space="preserve">2.3 </w:t>
            </w:r>
          </w:p>
        </w:tc>
        <w:tc>
          <w:tcPr>
            <w:tcW w:w="2347" w:type="pct"/>
            <w:tcBorders>
              <w:top w:val="dotted" w:color="auto" w:sz="4" w:space="0"/>
              <w:left w:val="dotted" w:color="auto" w:sz="4" w:space="0"/>
              <w:bottom w:val="dotted" w:color="auto" w:sz="4" w:space="0"/>
              <w:right w:val="dotted" w:color="auto" w:sz="4" w:space="0"/>
            </w:tcBorders>
            <w:shd w:val="clear" w:color="auto" w:fill="EEF6FC"/>
            <w:vAlign w:val="center"/>
          </w:tcPr>
          <w:p w14:paraId="6E7ACCEA">
            <w:pPr>
              <w:pStyle w:val="25"/>
              <w:bidi w:val="0"/>
              <w:rPr>
                <w:rFonts w:hint="eastAsia"/>
                <w:highlight w:val="none"/>
              </w:rPr>
            </w:pPr>
            <w:r>
              <w:rPr>
                <w:rFonts w:hint="eastAsia"/>
                <w:highlight w:val="none"/>
                <w:lang w:val="en-US" w:eastAsia="zh-CN"/>
              </w:rPr>
              <w:t>开发区</w:t>
            </w:r>
          </w:p>
        </w:tc>
      </w:tr>
      <w:tr w14:paraId="1A9D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12604A53">
            <w:pPr>
              <w:pStyle w:val="25"/>
              <w:bidi w:val="0"/>
              <w:rPr>
                <w:rFonts w:hint="eastAsia"/>
                <w:highlight w:val="none"/>
              </w:rPr>
            </w:pPr>
            <w:r>
              <w:rPr>
                <w:rFonts w:hint="eastAsia"/>
                <w:highlight w:val="none"/>
                <w:lang w:val="en-US" w:eastAsia="zh-CN"/>
              </w:rPr>
              <w:t>4</w:t>
            </w:r>
          </w:p>
        </w:tc>
        <w:tc>
          <w:tcPr>
            <w:tcW w:w="824" w:type="pct"/>
            <w:tcBorders>
              <w:top w:val="dotted" w:color="auto" w:sz="4" w:space="0"/>
              <w:left w:val="dotted" w:color="auto" w:sz="4" w:space="0"/>
              <w:bottom w:val="dotted" w:color="auto" w:sz="4" w:space="0"/>
              <w:right w:val="dotted" w:color="auto" w:sz="4" w:space="0"/>
            </w:tcBorders>
            <w:shd w:val="clear" w:color="auto" w:fill="D2E6F7"/>
            <w:vAlign w:val="center"/>
          </w:tcPr>
          <w:p w14:paraId="6C5A9EAE">
            <w:pPr>
              <w:pStyle w:val="25"/>
              <w:bidi w:val="0"/>
              <w:rPr>
                <w:rFonts w:hint="eastAsia"/>
                <w:highlight w:val="none"/>
              </w:rPr>
            </w:pPr>
            <w:r>
              <w:rPr>
                <w:rFonts w:hint="eastAsia"/>
                <w:highlight w:val="none"/>
                <w:lang w:val="en-US" w:eastAsia="zh-CN"/>
              </w:rPr>
              <w:t>冷鲜（冻）肉</w:t>
            </w:r>
          </w:p>
        </w:tc>
        <w:tc>
          <w:tcPr>
            <w:tcW w:w="1317" w:type="pct"/>
            <w:tcBorders>
              <w:top w:val="dotted" w:color="auto" w:sz="4" w:space="0"/>
              <w:left w:val="dotted" w:color="auto" w:sz="4" w:space="0"/>
              <w:bottom w:val="dotted" w:color="auto" w:sz="4" w:space="0"/>
              <w:right w:val="dotted" w:color="auto" w:sz="4" w:space="0"/>
            </w:tcBorders>
            <w:shd w:val="clear" w:color="auto" w:fill="D2E6F7"/>
            <w:vAlign w:val="center"/>
          </w:tcPr>
          <w:p w14:paraId="01B1A6F0">
            <w:pPr>
              <w:pStyle w:val="25"/>
              <w:bidi w:val="0"/>
              <w:rPr>
                <w:rFonts w:hint="eastAsia"/>
                <w:highlight w:val="none"/>
              </w:rPr>
            </w:pPr>
            <w:r>
              <w:rPr>
                <w:rFonts w:hint="eastAsia"/>
                <w:highlight w:val="none"/>
                <w:lang w:val="en-US" w:eastAsia="zh-CN"/>
              </w:rPr>
              <w:t xml:space="preserve">11.3 </w:t>
            </w:r>
          </w:p>
        </w:tc>
        <w:tc>
          <w:tcPr>
            <w:tcW w:w="2347" w:type="pct"/>
            <w:tcBorders>
              <w:top w:val="dotted" w:color="auto" w:sz="4" w:space="0"/>
              <w:left w:val="dotted" w:color="auto" w:sz="4" w:space="0"/>
              <w:bottom w:val="dotted" w:color="auto" w:sz="4" w:space="0"/>
              <w:right w:val="dotted" w:color="auto" w:sz="4" w:space="0"/>
            </w:tcBorders>
            <w:shd w:val="clear" w:color="auto" w:fill="D2E6F7"/>
            <w:vAlign w:val="center"/>
          </w:tcPr>
          <w:p w14:paraId="6BE0A250">
            <w:pPr>
              <w:pStyle w:val="25"/>
              <w:bidi w:val="0"/>
              <w:rPr>
                <w:rFonts w:hint="eastAsia"/>
                <w:highlight w:val="none"/>
              </w:rPr>
            </w:pPr>
            <w:r>
              <w:rPr>
                <w:rFonts w:hint="eastAsia"/>
                <w:highlight w:val="none"/>
                <w:lang w:val="en-US" w:eastAsia="zh-CN"/>
              </w:rPr>
              <w:t>章古台镇、开发区</w:t>
            </w:r>
          </w:p>
        </w:tc>
      </w:tr>
      <w:tr w14:paraId="53708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1DC07BB7">
            <w:pPr>
              <w:pStyle w:val="25"/>
              <w:bidi w:val="0"/>
              <w:rPr>
                <w:rFonts w:hint="eastAsia"/>
                <w:highlight w:val="none"/>
              </w:rPr>
            </w:pPr>
            <w:r>
              <w:rPr>
                <w:rFonts w:hint="eastAsia"/>
                <w:highlight w:val="none"/>
                <w:lang w:val="en-US" w:eastAsia="zh-CN"/>
              </w:rPr>
              <w:t>5</w:t>
            </w:r>
          </w:p>
        </w:tc>
        <w:tc>
          <w:tcPr>
            <w:tcW w:w="824" w:type="pct"/>
            <w:tcBorders>
              <w:top w:val="dotted" w:color="auto" w:sz="4" w:space="0"/>
              <w:left w:val="dotted" w:color="auto" w:sz="4" w:space="0"/>
              <w:bottom w:val="dotted" w:color="auto" w:sz="4" w:space="0"/>
              <w:right w:val="dotted" w:color="auto" w:sz="4" w:space="0"/>
            </w:tcBorders>
            <w:shd w:val="clear" w:color="auto" w:fill="EEF6FC"/>
            <w:vAlign w:val="center"/>
          </w:tcPr>
          <w:p w14:paraId="13B3E4BD">
            <w:pPr>
              <w:pStyle w:val="25"/>
              <w:bidi w:val="0"/>
              <w:rPr>
                <w:rFonts w:hint="eastAsia"/>
                <w:highlight w:val="none"/>
              </w:rPr>
            </w:pPr>
            <w:r>
              <w:rPr>
                <w:rFonts w:hint="eastAsia"/>
                <w:highlight w:val="none"/>
                <w:lang w:val="en-US" w:eastAsia="zh-CN"/>
              </w:rPr>
              <w:t>硅砂</w:t>
            </w:r>
          </w:p>
        </w:tc>
        <w:tc>
          <w:tcPr>
            <w:tcW w:w="1317" w:type="pct"/>
            <w:tcBorders>
              <w:top w:val="dotted" w:color="auto" w:sz="4" w:space="0"/>
              <w:left w:val="dotted" w:color="auto" w:sz="4" w:space="0"/>
              <w:bottom w:val="dotted" w:color="auto" w:sz="4" w:space="0"/>
              <w:right w:val="dotted" w:color="auto" w:sz="4" w:space="0"/>
            </w:tcBorders>
            <w:shd w:val="clear" w:color="auto" w:fill="EEF6FC"/>
            <w:vAlign w:val="center"/>
          </w:tcPr>
          <w:p w14:paraId="570A6904">
            <w:pPr>
              <w:pStyle w:val="25"/>
              <w:bidi w:val="0"/>
              <w:rPr>
                <w:rFonts w:hint="eastAsia"/>
                <w:highlight w:val="none"/>
              </w:rPr>
            </w:pPr>
            <w:r>
              <w:rPr>
                <w:rFonts w:hint="eastAsia"/>
                <w:highlight w:val="none"/>
                <w:lang w:val="en-US" w:eastAsia="zh-CN"/>
              </w:rPr>
              <w:t xml:space="preserve">171.6 </w:t>
            </w:r>
          </w:p>
        </w:tc>
        <w:tc>
          <w:tcPr>
            <w:tcW w:w="2347" w:type="pct"/>
            <w:tcBorders>
              <w:top w:val="dotted" w:color="auto" w:sz="4" w:space="0"/>
              <w:left w:val="dotted" w:color="auto" w:sz="4" w:space="0"/>
              <w:bottom w:val="dotted" w:color="auto" w:sz="4" w:space="0"/>
              <w:right w:val="dotted" w:color="auto" w:sz="4" w:space="0"/>
            </w:tcBorders>
            <w:shd w:val="clear" w:color="auto" w:fill="EEF6FC"/>
            <w:vAlign w:val="center"/>
          </w:tcPr>
          <w:p w14:paraId="163A5043">
            <w:pPr>
              <w:pStyle w:val="25"/>
              <w:bidi w:val="0"/>
              <w:rPr>
                <w:rFonts w:hint="eastAsia"/>
                <w:highlight w:val="none"/>
              </w:rPr>
            </w:pPr>
            <w:r>
              <w:rPr>
                <w:rFonts w:hint="eastAsia"/>
                <w:highlight w:val="none"/>
                <w:lang w:val="en-US" w:eastAsia="zh-CN"/>
              </w:rPr>
              <w:t>冯家镇、章古台镇、阿尔乡镇、大德镇、开发区</w:t>
            </w:r>
          </w:p>
        </w:tc>
      </w:tr>
      <w:tr w14:paraId="04F61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57DD4EBF">
            <w:pPr>
              <w:pStyle w:val="25"/>
              <w:bidi w:val="0"/>
              <w:rPr>
                <w:rFonts w:hint="eastAsia"/>
                <w:highlight w:val="none"/>
              </w:rPr>
            </w:pPr>
            <w:r>
              <w:rPr>
                <w:rFonts w:hint="eastAsia"/>
                <w:highlight w:val="none"/>
                <w:lang w:val="en-US" w:eastAsia="zh-CN"/>
              </w:rPr>
              <w:t>6</w:t>
            </w:r>
          </w:p>
        </w:tc>
        <w:tc>
          <w:tcPr>
            <w:tcW w:w="824" w:type="pct"/>
            <w:tcBorders>
              <w:top w:val="dotted" w:color="auto" w:sz="4" w:space="0"/>
              <w:left w:val="dotted" w:color="auto" w:sz="4" w:space="0"/>
              <w:bottom w:val="dotted" w:color="auto" w:sz="4" w:space="0"/>
              <w:right w:val="dotted" w:color="auto" w:sz="4" w:space="0"/>
            </w:tcBorders>
            <w:shd w:val="clear" w:color="auto" w:fill="D2E6F7"/>
            <w:vAlign w:val="center"/>
          </w:tcPr>
          <w:p w14:paraId="3F11FEA8">
            <w:pPr>
              <w:pStyle w:val="25"/>
              <w:bidi w:val="0"/>
              <w:rPr>
                <w:rFonts w:hint="eastAsia"/>
                <w:highlight w:val="none"/>
              </w:rPr>
            </w:pPr>
            <w:r>
              <w:rPr>
                <w:rFonts w:hint="eastAsia"/>
                <w:highlight w:val="none"/>
                <w:lang w:val="en-US" w:eastAsia="zh-CN"/>
              </w:rPr>
              <w:t>铸件</w:t>
            </w:r>
          </w:p>
        </w:tc>
        <w:tc>
          <w:tcPr>
            <w:tcW w:w="1317" w:type="pct"/>
            <w:tcBorders>
              <w:top w:val="dotted" w:color="auto" w:sz="4" w:space="0"/>
              <w:left w:val="dotted" w:color="auto" w:sz="4" w:space="0"/>
              <w:bottom w:val="dotted" w:color="auto" w:sz="4" w:space="0"/>
              <w:right w:val="dotted" w:color="auto" w:sz="4" w:space="0"/>
            </w:tcBorders>
            <w:shd w:val="clear" w:color="auto" w:fill="D2E6F7"/>
            <w:vAlign w:val="center"/>
          </w:tcPr>
          <w:p w14:paraId="7E4F55D7">
            <w:pPr>
              <w:pStyle w:val="25"/>
              <w:bidi w:val="0"/>
              <w:rPr>
                <w:rFonts w:hint="eastAsia"/>
                <w:highlight w:val="none"/>
              </w:rPr>
            </w:pPr>
            <w:r>
              <w:rPr>
                <w:rFonts w:hint="eastAsia"/>
                <w:highlight w:val="none"/>
                <w:lang w:val="en-US" w:eastAsia="zh-CN"/>
              </w:rPr>
              <w:t xml:space="preserve">19.6 </w:t>
            </w:r>
          </w:p>
        </w:tc>
        <w:tc>
          <w:tcPr>
            <w:tcW w:w="2347" w:type="pct"/>
            <w:tcBorders>
              <w:top w:val="dotted" w:color="auto" w:sz="4" w:space="0"/>
              <w:left w:val="dotted" w:color="auto" w:sz="4" w:space="0"/>
              <w:bottom w:val="dotted" w:color="auto" w:sz="4" w:space="0"/>
              <w:right w:val="dotted" w:color="auto" w:sz="4" w:space="0"/>
            </w:tcBorders>
            <w:shd w:val="clear" w:color="auto" w:fill="D2E6F7"/>
            <w:vAlign w:val="center"/>
          </w:tcPr>
          <w:p w14:paraId="775454F0">
            <w:pPr>
              <w:pStyle w:val="25"/>
              <w:bidi w:val="0"/>
              <w:rPr>
                <w:rFonts w:hint="eastAsia"/>
                <w:highlight w:val="none"/>
              </w:rPr>
            </w:pPr>
            <w:r>
              <w:rPr>
                <w:rFonts w:hint="eastAsia"/>
                <w:highlight w:val="none"/>
                <w:lang w:val="en-US" w:eastAsia="zh-CN"/>
              </w:rPr>
              <w:t>开发区、平安镇</w:t>
            </w:r>
          </w:p>
        </w:tc>
      </w:tr>
      <w:tr w14:paraId="51386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4" w:space="0"/>
              <w:right w:val="dotted" w:color="auto" w:sz="4" w:space="0"/>
            </w:tcBorders>
            <w:shd w:val="clear" w:color="auto" w:fill="9BC6ED"/>
            <w:vAlign w:val="center"/>
          </w:tcPr>
          <w:p w14:paraId="28465F3C">
            <w:pPr>
              <w:pStyle w:val="25"/>
              <w:bidi w:val="0"/>
              <w:rPr>
                <w:rFonts w:hint="eastAsia"/>
                <w:highlight w:val="none"/>
              </w:rPr>
            </w:pPr>
            <w:r>
              <w:rPr>
                <w:rFonts w:hint="eastAsia"/>
                <w:highlight w:val="none"/>
                <w:lang w:val="en-US" w:eastAsia="zh-CN"/>
              </w:rPr>
              <w:t>7</w:t>
            </w:r>
          </w:p>
        </w:tc>
        <w:tc>
          <w:tcPr>
            <w:tcW w:w="824" w:type="pct"/>
            <w:tcBorders>
              <w:top w:val="dotted" w:color="auto" w:sz="4" w:space="0"/>
              <w:left w:val="dotted" w:color="auto" w:sz="4" w:space="0"/>
              <w:bottom w:val="dotted" w:color="auto" w:sz="4" w:space="0"/>
              <w:right w:val="dotted" w:color="auto" w:sz="4" w:space="0"/>
            </w:tcBorders>
            <w:shd w:val="clear" w:color="auto" w:fill="EEF6FC"/>
            <w:vAlign w:val="center"/>
          </w:tcPr>
          <w:p w14:paraId="20B306DD">
            <w:pPr>
              <w:pStyle w:val="25"/>
              <w:bidi w:val="0"/>
              <w:rPr>
                <w:rFonts w:hint="eastAsia"/>
                <w:highlight w:val="none"/>
              </w:rPr>
            </w:pPr>
            <w:r>
              <w:rPr>
                <w:rFonts w:hint="eastAsia"/>
                <w:highlight w:val="none"/>
                <w:lang w:val="en-US" w:eastAsia="zh-CN"/>
              </w:rPr>
              <w:t>建材</w:t>
            </w:r>
          </w:p>
        </w:tc>
        <w:tc>
          <w:tcPr>
            <w:tcW w:w="1317" w:type="pct"/>
            <w:tcBorders>
              <w:top w:val="dotted" w:color="auto" w:sz="4" w:space="0"/>
              <w:left w:val="dotted" w:color="auto" w:sz="4" w:space="0"/>
              <w:bottom w:val="dotted" w:color="auto" w:sz="4" w:space="0"/>
              <w:right w:val="dotted" w:color="auto" w:sz="4" w:space="0"/>
            </w:tcBorders>
            <w:shd w:val="clear" w:color="auto" w:fill="EEF6FC"/>
            <w:vAlign w:val="center"/>
          </w:tcPr>
          <w:p w14:paraId="1F7D4DBF">
            <w:pPr>
              <w:pStyle w:val="25"/>
              <w:bidi w:val="0"/>
              <w:rPr>
                <w:rFonts w:hint="eastAsia"/>
                <w:highlight w:val="none"/>
              </w:rPr>
            </w:pPr>
            <w:r>
              <w:rPr>
                <w:rFonts w:hint="eastAsia"/>
                <w:highlight w:val="none"/>
                <w:lang w:val="en-US" w:eastAsia="zh-CN"/>
              </w:rPr>
              <w:t xml:space="preserve">117.1 </w:t>
            </w:r>
          </w:p>
        </w:tc>
        <w:tc>
          <w:tcPr>
            <w:tcW w:w="2347" w:type="pct"/>
            <w:tcBorders>
              <w:top w:val="dotted" w:color="auto" w:sz="4" w:space="0"/>
              <w:left w:val="dotted" w:color="auto" w:sz="4" w:space="0"/>
              <w:bottom w:val="dotted" w:color="auto" w:sz="4" w:space="0"/>
              <w:right w:val="dotted" w:color="auto" w:sz="4" w:space="0"/>
            </w:tcBorders>
            <w:shd w:val="clear" w:color="auto" w:fill="EEF6FC"/>
            <w:vAlign w:val="center"/>
          </w:tcPr>
          <w:p w14:paraId="5C08AE4C">
            <w:pPr>
              <w:pStyle w:val="25"/>
              <w:bidi w:val="0"/>
              <w:rPr>
                <w:rFonts w:hint="eastAsia"/>
                <w:highlight w:val="none"/>
              </w:rPr>
            </w:pPr>
            <w:r>
              <w:rPr>
                <w:rFonts w:hint="eastAsia"/>
                <w:highlight w:val="none"/>
                <w:lang w:val="en-US" w:eastAsia="zh-CN"/>
              </w:rPr>
              <w:t>开发区、彰武镇、五峰镇</w:t>
            </w:r>
          </w:p>
        </w:tc>
      </w:tr>
      <w:tr w14:paraId="06284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1" w:type="pct"/>
            <w:tcBorders>
              <w:top w:val="dotted" w:color="auto" w:sz="4" w:space="0"/>
              <w:left w:val="dotted" w:color="auto" w:sz="4" w:space="0"/>
              <w:bottom w:val="dotted" w:color="auto" w:sz="0" w:space="0"/>
              <w:right w:val="dotted" w:color="auto" w:sz="4" w:space="0"/>
            </w:tcBorders>
            <w:shd w:val="clear" w:color="auto" w:fill="9BC6ED"/>
            <w:vAlign w:val="center"/>
          </w:tcPr>
          <w:p w14:paraId="510B00B3">
            <w:pPr>
              <w:pStyle w:val="25"/>
              <w:bidi w:val="0"/>
              <w:rPr>
                <w:rFonts w:hint="eastAsia"/>
                <w:highlight w:val="none"/>
              </w:rPr>
            </w:pPr>
            <w:r>
              <w:rPr>
                <w:rFonts w:hint="eastAsia"/>
                <w:highlight w:val="none"/>
                <w:lang w:val="en-US" w:eastAsia="zh-CN"/>
              </w:rPr>
              <w:t>8</w:t>
            </w:r>
          </w:p>
        </w:tc>
        <w:tc>
          <w:tcPr>
            <w:tcW w:w="824" w:type="pct"/>
            <w:tcBorders>
              <w:top w:val="dotted" w:color="auto" w:sz="4" w:space="0"/>
              <w:left w:val="dotted" w:color="auto" w:sz="4" w:space="0"/>
              <w:bottom w:val="dotted" w:color="auto" w:sz="0" w:space="0"/>
              <w:right w:val="dotted" w:color="auto" w:sz="4" w:space="0"/>
            </w:tcBorders>
            <w:shd w:val="clear" w:color="auto" w:fill="D2E6F7"/>
            <w:vAlign w:val="center"/>
          </w:tcPr>
          <w:p w14:paraId="44A0E849">
            <w:pPr>
              <w:pStyle w:val="25"/>
              <w:bidi w:val="0"/>
              <w:rPr>
                <w:rFonts w:hint="eastAsia"/>
                <w:highlight w:val="none"/>
              </w:rPr>
            </w:pPr>
            <w:r>
              <w:rPr>
                <w:rFonts w:hint="eastAsia"/>
                <w:highlight w:val="none"/>
                <w:lang w:val="en-US" w:eastAsia="zh-CN"/>
              </w:rPr>
              <w:t>其它</w:t>
            </w:r>
          </w:p>
        </w:tc>
        <w:tc>
          <w:tcPr>
            <w:tcW w:w="1317" w:type="pct"/>
            <w:tcBorders>
              <w:top w:val="dotted" w:color="auto" w:sz="4" w:space="0"/>
              <w:left w:val="dotted" w:color="auto" w:sz="4" w:space="0"/>
              <w:bottom w:val="dotted" w:color="auto" w:sz="4" w:space="0"/>
              <w:right w:val="dotted" w:color="auto" w:sz="4" w:space="0"/>
            </w:tcBorders>
            <w:shd w:val="clear" w:color="auto" w:fill="D2E6F7"/>
            <w:vAlign w:val="center"/>
          </w:tcPr>
          <w:p w14:paraId="363E8EC6">
            <w:pPr>
              <w:pStyle w:val="25"/>
              <w:bidi w:val="0"/>
              <w:rPr>
                <w:rFonts w:hint="eastAsia"/>
                <w:highlight w:val="none"/>
              </w:rPr>
            </w:pPr>
            <w:r>
              <w:rPr>
                <w:rFonts w:hint="eastAsia"/>
                <w:highlight w:val="none"/>
                <w:lang w:val="en-US" w:eastAsia="zh-CN"/>
              </w:rPr>
              <w:t xml:space="preserve">0.6 </w:t>
            </w:r>
          </w:p>
        </w:tc>
        <w:tc>
          <w:tcPr>
            <w:tcW w:w="2347" w:type="pct"/>
            <w:tcBorders>
              <w:top w:val="dotted" w:color="auto" w:sz="4" w:space="0"/>
              <w:left w:val="dotted" w:color="auto" w:sz="4" w:space="0"/>
              <w:bottom w:val="dotted" w:color="auto" w:sz="0" w:space="0"/>
              <w:right w:val="dotted" w:color="auto" w:sz="4" w:space="0"/>
            </w:tcBorders>
            <w:shd w:val="clear" w:color="auto" w:fill="D2E6F7"/>
            <w:vAlign w:val="center"/>
          </w:tcPr>
          <w:p w14:paraId="2F1D2D40">
            <w:pPr>
              <w:pStyle w:val="25"/>
              <w:bidi w:val="0"/>
              <w:rPr>
                <w:rFonts w:hint="eastAsia"/>
                <w:highlight w:val="none"/>
              </w:rPr>
            </w:pPr>
            <w:r>
              <w:rPr>
                <w:rFonts w:hint="eastAsia"/>
                <w:highlight w:val="none"/>
                <w:lang w:val="en-US" w:eastAsia="zh-CN"/>
              </w:rPr>
              <w:t>兴隆山镇、平安镇、四合城镇</w:t>
            </w:r>
          </w:p>
        </w:tc>
      </w:tr>
      <w:tr w14:paraId="02323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5" w:type="pct"/>
            <w:gridSpan w:val="2"/>
            <w:tcBorders>
              <w:top w:val="dotted" w:color="auto" w:sz="4" w:space="0"/>
              <w:left w:val="dotted" w:color="auto" w:sz="4" w:space="0"/>
              <w:bottom w:val="single" w:color="4D9CDF" w:sz="4" w:space="0"/>
              <w:right w:val="dotted" w:color="auto" w:sz="4" w:space="0"/>
            </w:tcBorders>
            <w:shd w:val="clear" w:color="auto" w:fill="9BC6ED"/>
            <w:noWrap/>
            <w:vAlign w:val="center"/>
          </w:tcPr>
          <w:p w14:paraId="01EBCF33">
            <w:pPr>
              <w:pStyle w:val="25"/>
              <w:bidi w:val="0"/>
              <w:rPr>
                <w:rFonts w:hint="eastAsia"/>
                <w:highlight w:val="none"/>
              </w:rPr>
            </w:pPr>
            <w:r>
              <w:rPr>
                <w:rFonts w:hint="eastAsia"/>
                <w:highlight w:val="none"/>
                <w:lang w:val="en-US" w:eastAsia="zh-CN"/>
              </w:rPr>
              <w:t>合计</w:t>
            </w:r>
          </w:p>
        </w:tc>
        <w:tc>
          <w:tcPr>
            <w:tcW w:w="1317" w:type="pct"/>
            <w:tcBorders>
              <w:top w:val="dotted" w:color="auto" w:sz="4" w:space="0"/>
              <w:left w:val="dotted" w:color="auto" w:sz="4" w:space="0"/>
              <w:bottom w:val="single" w:color="4D9CDF" w:sz="4" w:space="0"/>
              <w:right w:val="dotted" w:color="auto" w:sz="4" w:space="0"/>
            </w:tcBorders>
            <w:shd w:val="clear" w:color="auto" w:fill="EEF6FC"/>
            <w:noWrap/>
            <w:vAlign w:val="center"/>
          </w:tcPr>
          <w:p w14:paraId="1B3283BB">
            <w:pPr>
              <w:pStyle w:val="25"/>
              <w:bidi w:val="0"/>
              <w:rPr>
                <w:rFonts w:hint="eastAsia"/>
                <w:highlight w:val="none"/>
              </w:rPr>
            </w:pPr>
            <w:r>
              <w:rPr>
                <w:rFonts w:hint="eastAsia"/>
                <w:highlight w:val="none"/>
                <w:lang w:val="en-US" w:eastAsia="zh-CN"/>
              </w:rPr>
              <w:t xml:space="preserve">413.1 </w:t>
            </w:r>
          </w:p>
        </w:tc>
        <w:tc>
          <w:tcPr>
            <w:tcW w:w="2347" w:type="pct"/>
            <w:tcBorders>
              <w:top w:val="dotted" w:color="auto" w:sz="4" w:space="0"/>
              <w:left w:val="dotted" w:color="auto" w:sz="4" w:space="0"/>
              <w:bottom w:val="single" w:color="4D9CDF" w:sz="4" w:space="0"/>
              <w:right w:val="dotted" w:color="auto" w:sz="4" w:space="0"/>
            </w:tcBorders>
            <w:shd w:val="clear" w:color="auto" w:fill="EEF6FC"/>
            <w:noWrap/>
            <w:vAlign w:val="center"/>
          </w:tcPr>
          <w:p w14:paraId="2D28BBD9">
            <w:pPr>
              <w:pStyle w:val="25"/>
              <w:bidi w:val="0"/>
              <w:rPr>
                <w:rFonts w:hint="eastAsia"/>
                <w:highlight w:val="none"/>
              </w:rPr>
            </w:pPr>
          </w:p>
        </w:tc>
      </w:tr>
    </w:tbl>
    <w:p w14:paraId="1C6E1951">
      <w:pPr>
        <w:bidi w:val="0"/>
        <w:rPr>
          <w:rFonts w:hint="default"/>
          <w:b/>
          <w:bCs/>
          <w:sz w:val="24"/>
          <w:szCs w:val="22"/>
          <w:highlight w:val="none"/>
          <w:lang w:val="en-US" w:eastAsia="zh-CN"/>
        </w:rPr>
      </w:pPr>
      <w:r>
        <w:rPr>
          <w:rFonts w:hint="eastAsia"/>
          <w:b/>
          <w:bCs/>
          <w:sz w:val="24"/>
          <w:szCs w:val="22"/>
          <w:highlight w:val="none"/>
          <w:lang w:val="en-US" w:eastAsia="zh-CN"/>
        </w:rPr>
        <w:t>经多方调研，彰武县现有货运总需求超800万吨/年（含农业）。</w:t>
      </w:r>
    </w:p>
    <w:p w14:paraId="1C4034E8">
      <w:pPr>
        <w:pStyle w:val="3"/>
        <w:bidi w:val="0"/>
        <w:rPr>
          <w:rFonts w:hint="default"/>
          <w:highlight w:val="none"/>
          <w:lang w:val="en-US" w:eastAsia="zh-CN"/>
        </w:rPr>
      </w:pPr>
      <w:bookmarkStart w:id="37" w:name="_Toc5146"/>
      <w:r>
        <w:rPr>
          <w:rFonts w:hint="eastAsia"/>
          <w:highlight w:val="none"/>
          <w:lang w:val="en-US" w:eastAsia="zh-CN"/>
        </w:rPr>
        <w:t>面临形势</w:t>
      </w:r>
      <w:bookmarkEnd w:id="37"/>
    </w:p>
    <w:p w14:paraId="1E1642BE">
      <w:pPr>
        <w:bidi w:val="0"/>
        <w:rPr>
          <w:highlight w:val="none"/>
        </w:rPr>
      </w:pPr>
      <w:r>
        <w:rPr>
          <w:highlight w:val="none"/>
        </w:rPr>
        <w:t>整体规模偏小，</w:t>
      </w:r>
      <w:r>
        <w:rPr>
          <w:rFonts w:hint="eastAsia"/>
          <w:highlight w:val="none"/>
          <w:lang w:val="en-US" w:eastAsia="zh-CN"/>
        </w:rPr>
        <w:t>内部恶性竞争相对</w:t>
      </w:r>
      <w:r>
        <w:rPr>
          <w:highlight w:val="none"/>
        </w:rPr>
        <w:t>激烈。</w:t>
      </w:r>
      <w:r>
        <w:rPr>
          <w:rFonts w:hint="eastAsia"/>
          <w:highlight w:val="none"/>
          <w:lang w:val="en-US" w:eastAsia="zh-CN"/>
        </w:rPr>
        <w:t>彰武</w:t>
      </w:r>
      <w:r>
        <w:rPr>
          <w:highlight w:val="none"/>
        </w:rPr>
        <w:t>整体物流基础较</w:t>
      </w:r>
      <w:r>
        <w:rPr>
          <w:rFonts w:hint="eastAsia"/>
          <w:highlight w:val="none"/>
        </w:rPr>
        <w:t>薄弱</w:t>
      </w:r>
      <w:r>
        <w:rPr>
          <w:highlight w:val="none"/>
        </w:rPr>
        <w:t>，货物运输量</w:t>
      </w:r>
      <w:r>
        <w:rPr>
          <w:rFonts w:hint="eastAsia"/>
          <w:highlight w:val="none"/>
          <w:lang w:val="en-US" w:eastAsia="zh-CN"/>
        </w:rPr>
        <w:t>相对较低，过境运输量大；且周边县区如法库、康平等均有较高物流需求，在整个辽西北各县域经济体中，彰武县的交通区位优势最为明显，急需打造以彰武为中心，服务辽西北的物流集散地，发展连接蒙东-吉林-辽宁-京津冀的物流平台</w:t>
      </w:r>
      <w:r>
        <w:rPr>
          <w:highlight w:val="none"/>
        </w:rPr>
        <w:t>。</w:t>
      </w:r>
    </w:p>
    <w:p w14:paraId="7F63FE5E">
      <w:pPr>
        <w:bidi w:val="0"/>
        <w:rPr>
          <w:rFonts w:hint="eastAsia"/>
          <w:lang w:eastAsia="zh-CN"/>
        </w:rPr>
      </w:pPr>
      <w:r>
        <w:rPr>
          <w:rFonts w:hint="eastAsia"/>
        </w:rPr>
        <w:t>近年来，近邻的</w:t>
      </w:r>
      <w:r>
        <w:rPr>
          <w:rFonts w:hint="eastAsia"/>
          <w:lang w:val="en-US" w:eastAsia="zh-CN"/>
        </w:rPr>
        <w:t>沈阳市中心区</w:t>
      </w:r>
      <w:r>
        <w:rPr>
          <w:rFonts w:hint="eastAsia"/>
        </w:rPr>
        <w:t>、</w:t>
      </w:r>
      <w:r>
        <w:rPr>
          <w:rFonts w:hint="eastAsia"/>
          <w:lang w:val="en-US" w:eastAsia="zh-CN"/>
        </w:rPr>
        <w:t>新民市</w:t>
      </w:r>
      <w:r>
        <w:rPr>
          <w:rFonts w:hint="eastAsia"/>
        </w:rPr>
        <w:t>等城市物流业发展迅速，对</w:t>
      </w:r>
      <w:r>
        <w:rPr>
          <w:rFonts w:hint="eastAsia"/>
          <w:lang w:val="en-US" w:eastAsia="zh-CN"/>
        </w:rPr>
        <w:t>彰武</w:t>
      </w:r>
      <w:r>
        <w:rPr>
          <w:rFonts w:hint="eastAsia"/>
        </w:rPr>
        <w:t>物流业发展形成挑战。特别是</w:t>
      </w:r>
      <w:r>
        <w:rPr>
          <w:rFonts w:hint="eastAsia"/>
          <w:lang w:val="en-US" w:eastAsia="zh-CN"/>
        </w:rPr>
        <w:t>新民市</w:t>
      </w:r>
      <w:r>
        <w:rPr>
          <w:rFonts w:hint="eastAsia"/>
        </w:rPr>
        <w:t>对物流政策扶持力度大</w:t>
      </w:r>
      <w:r>
        <w:rPr>
          <w:rFonts w:hint="eastAsia"/>
          <w:lang w:eastAsia="zh-CN"/>
        </w:rPr>
        <w:t>，</w:t>
      </w:r>
      <w:r>
        <w:rPr>
          <w:rFonts w:hint="eastAsia"/>
          <w:lang w:val="en-US" w:eastAsia="zh-CN"/>
        </w:rPr>
        <w:t>已经</w:t>
      </w:r>
      <w:r>
        <w:rPr>
          <w:rFonts w:hint="eastAsia"/>
        </w:rPr>
        <w:t>获批全国农产品骨干冷链物流重点县</w:t>
      </w:r>
      <w:r>
        <w:rPr>
          <w:rFonts w:hint="eastAsia"/>
          <w:lang w:eastAsia="zh-CN"/>
        </w:rPr>
        <w:t>，</w:t>
      </w:r>
      <w:r>
        <w:rPr>
          <w:rFonts w:hint="eastAsia"/>
        </w:rPr>
        <w:t>沈阳市农业农村局近年来大力支持包括新民市在内的各涉农区县开展农产品产地冷藏保鲜设施建设，“十四五”以来</w:t>
      </w:r>
      <w:r>
        <w:rPr>
          <w:rFonts w:hint="eastAsia"/>
          <w:lang w:val="en-US" w:eastAsia="zh-CN"/>
        </w:rPr>
        <w:t>新民</w:t>
      </w:r>
      <w:r>
        <w:rPr>
          <w:rFonts w:hint="eastAsia"/>
        </w:rPr>
        <w:t>已争取中央资金2115万元，建设产地仓储设施16.5万立方米</w:t>
      </w:r>
      <w:r>
        <w:rPr>
          <w:rFonts w:hint="eastAsia"/>
          <w:lang w:eastAsia="zh-CN"/>
        </w:rPr>
        <w:t>。</w:t>
      </w:r>
    </w:p>
    <w:p w14:paraId="0119882A">
      <w:pPr>
        <w:bidi w:val="0"/>
        <w:rPr>
          <w:highlight w:val="none"/>
        </w:rPr>
      </w:pPr>
      <w:r>
        <w:rPr>
          <w:rFonts w:hint="eastAsia"/>
        </w:rPr>
        <w:t>同时，随着</w:t>
      </w:r>
      <w:r>
        <w:rPr>
          <w:rFonts w:hint="eastAsia"/>
          <w:lang w:val="en-US" w:eastAsia="zh-CN"/>
        </w:rPr>
        <w:t>沈阳都市圈</w:t>
      </w:r>
      <w:r>
        <w:rPr>
          <w:rFonts w:hint="eastAsia"/>
        </w:rPr>
        <w:t>建设加快，</w:t>
      </w:r>
      <w:r>
        <w:rPr>
          <w:rFonts w:hint="eastAsia"/>
          <w:lang w:val="en-US" w:eastAsia="zh-CN"/>
        </w:rPr>
        <w:t>辽宁区域</w:t>
      </w:r>
      <w:r>
        <w:rPr>
          <w:rFonts w:hint="eastAsia"/>
        </w:rPr>
        <w:t>经济进一步融合，物流也将朝向一体化发展，优胜劣汰的趋势不可避免。</w:t>
      </w:r>
      <w:r>
        <w:rPr>
          <w:rFonts w:hint="eastAsia"/>
          <w:lang w:val="en-US" w:eastAsia="zh-CN"/>
        </w:rPr>
        <w:t>彰武</w:t>
      </w:r>
      <w:r>
        <w:rPr>
          <w:rFonts w:hint="eastAsia"/>
        </w:rPr>
        <w:t>物流业能否抓住机遇，突出特色，错位发展，在激烈的市场竞争中站稳脚跟，是一个不容回避的问题。</w:t>
      </w:r>
    </w:p>
    <w:p w14:paraId="4DB7E373">
      <w:pPr>
        <w:bidi w:val="0"/>
        <w:rPr>
          <w:highlight w:val="none"/>
        </w:rPr>
      </w:pPr>
      <w:r>
        <w:rPr>
          <w:highlight w:val="none"/>
        </w:rPr>
        <w:t>经营主体能级较弱，缺少龙头企业。</w:t>
      </w:r>
      <w:r>
        <w:rPr>
          <w:rFonts w:hint="eastAsia"/>
          <w:highlight w:val="none"/>
        </w:rPr>
        <w:t>彰武县现有物流企业12家，主要以道路货物</w:t>
      </w:r>
      <w:r>
        <w:rPr>
          <w:rFonts w:hint="eastAsia"/>
          <w:highlight w:val="none"/>
          <w:lang w:val="en-US" w:eastAsia="zh-CN"/>
        </w:rPr>
        <w:t>运输为主，铁路物流量较低。各</w:t>
      </w:r>
      <w:r>
        <w:rPr>
          <w:rFonts w:hint="eastAsia"/>
          <w:highlight w:val="none"/>
        </w:rPr>
        <w:t>企业发展程度较低，现状物流企业均为中小型运输业务为主，业务信息依靠电话、微信联系，</w:t>
      </w:r>
      <w:r>
        <w:rPr>
          <w:rFonts w:hint="eastAsia"/>
          <w:highlight w:val="none"/>
          <w:lang w:val="en-US" w:eastAsia="zh-CN"/>
        </w:rPr>
        <w:t>未能利用先进的互联网信息平台，导致发车、返程过程中车辆空驶率较高，物流企业盈利困难，这又进一步加剧了企业的困境</w:t>
      </w:r>
      <w:r>
        <w:rPr>
          <w:highlight w:val="none"/>
        </w:rPr>
        <w:t>。</w:t>
      </w:r>
    </w:p>
    <w:p w14:paraId="51F0B578">
      <w:pPr>
        <w:bidi w:val="0"/>
        <w:rPr>
          <w:highlight w:val="none"/>
        </w:rPr>
      </w:pPr>
      <w:r>
        <w:rPr>
          <w:rFonts w:hint="eastAsia"/>
          <w:highlight w:val="none"/>
          <w:lang w:val="en-US" w:eastAsia="zh-CN"/>
        </w:rPr>
        <w:t>本地货运企业无法满足本地货运需求</w:t>
      </w:r>
      <w:r>
        <w:rPr>
          <w:highlight w:val="none"/>
        </w:rPr>
        <w:t>，物流成本较高。外地注册的物流企业承接了本</w:t>
      </w:r>
      <w:r>
        <w:rPr>
          <w:rFonts w:hint="eastAsia"/>
          <w:highlight w:val="none"/>
          <w:lang w:val="en-US" w:eastAsia="zh-CN"/>
        </w:rPr>
        <w:t>地</w:t>
      </w:r>
      <w:r>
        <w:rPr>
          <w:highlight w:val="none"/>
        </w:rPr>
        <w:t>的部分运输和物流服务</w:t>
      </w:r>
      <w:r>
        <w:rPr>
          <w:rFonts w:hint="eastAsia"/>
          <w:highlight w:val="none"/>
          <w:lang w:eastAsia="zh-CN"/>
        </w:rPr>
        <w:t>，</w:t>
      </w:r>
      <w:r>
        <w:rPr>
          <w:rFonts w:hint="eastAsia"/>
          <w:highlight w:val="none"/>
          <w:lang w:val="en-US" w:eastAsia="zh-CN"/>
        </w:rPr>
        <w:t>缺少统一的信息平台</w:t>
      </w:r>
      <w:r>
        <w:rPr>
          <w:highlight w:val="none"/>
        </w:rPr>
        <w:t>，导致</w:t>
      </w:r>
      <w:r>
        <w:rPr>
          <w:rFonts w:hint="eastAsia"/>
          <w:highlight w:val="none"/>
          <w:lang w:eastAsia="zh-CN"/>
        </w:rPr>
        <w:t>彰武县</w:t>
      </w:r>
      <w:r>
        <w:rPr>
          <w:highlight w:val="none"/>
        </w:rPr>
        <w:t>统计的货物发送量低于实际发生的货物发送量</w:t>
      </w:r>
      <w:r>
        <w:rPr>
          <w:rFonts w:hint="eastAsia"/>
          <w:highlight w:val="none"/>
        </w:rPr>
        <w:t>，社会物流总费用统计不全</w:t>
      </w:r>
      <w:r>
        <w:rPr>
          <w:highlight w:val="none"/>
        </w:rPr>
        <w:t>。</w:t>
      </w:r>
    </w:p>
    <w:p w14:paraId="40F99627">
      <w:pPr>
        <w:bidi w:val="0"/>
        <w:rPr>
          <w:highlight w:val="none"/>
        </w:rPr>
      </w:pPr>
      <w:r>
        <w:rPr>
          <w:rFonts w:hint="eastAsia"/>
          <w:highlight w:val="none"/>
          <w:lang w:eastAsia="zh-CN"/>
        </w:rPr>
        <w:t>彰武县</w:t>
      </w:r>
      <w:r>
        <w:rPr>
          <w:highlight w:val="none"/>
        </w:rPr>
        <w:t>传统仓储物流（物流地产）整体处于供过于求的状态，</w:t>
      </w:r>
      <w:r>
        <w:rPr>
          <w:rFonts w:hint="eastAsia"/>
          <w:highlight w:val="none"/>
          <w:lang w:val="en-US" w:eastAsia="zh-CN"/>
        </w:rPr>
        <w:t>部分</w:t>
      </w:r>
      <w:r>
        <w:rPr>
          <w:highlight w:val="none"/>
        </w:rPr>
        <w:t>高标库闲置，但能够为工业企业、居民提供一体化物流服务的综合性物流</w:t>
      </w:r>
      <w:r>
        <w:rPr>
          <w:rFonts w:hint="eastAsia"/>
          <w:highlight w:val="none"/>
          <w:lang w:val="en-US" w:eastAsia="zh-CN"/>
        </w:rPr>
        <w:t>中心</w:t>
      </w:r>
      <w:r>
        <w:rPr>
          <w:highlight w:val="none"/>
        </w:rPr>
        <w:t>较少。配套</w:t>
      </w:r>
      <w:r>
        <w:rPr>
          <w:rFonts w:hint="eastAsia"/>
          <w:highlight w:val="none"/>
          <w:lang w:eastAsia="zh-CN"/>
        </w:rPr>
        <w:t>我县</w:t>
      </w:r>
      <w:r>
        <w:rPr>
          <w:highlight w:val="none"/>
        </w:rPr>
        <w:t>高端装备产业、</w:t>
      </w:r>
      <w:r>
        <w:rPr>
          <w:rFonts w:hint="eastAsia"/>
          <w:highlight w:val="none"/>
          <w:lang w:val="en-US" w:eastAsia="zh-CN"/>
        </w:rPr>
        <w:t>硅砂</w:t>
      </w:r>
      <w:r>
        <w:rPr>
          <w:rFonts w:hint="eastAsia"/>
          <w:highlight w:val="none"/>
        </w:rPr>
        <w:t>产业、</w:t>
      </w:r>
      <w:r>
        <w:rPr>
          <w:rFonts w:hint="eastAsia"/>
          <w:highlight w:val="none"/>
          <w:lang w:val="en-US" w:eastAsia="zh-CN"/>
        </w:rPr>
        <w:t>农副</w:t>
      </w:r>
      <w:r>
        <w:rPr>
          <w:highlight w:val="none"/>
        </w:rPr>
        <w:t>产业等主导产业的特种装备运输、危化品物流、冷链等</w:t>
      </w:r>
      <w:r>
        <w:rPr>
          <w:rFonts w:hint="eastAsia"/>
          <w:highlight w:val="none"/>
        </w:rPr>
        <w:t>物流</w:t>
      </w:r>
      <w:r>
        <w:rPr>
          <w:highlight w:val="none"/>
        </w:rPr>
        <w:t>业态，严重依赖外</w:t>
      </w:r>
      <w:r>
        <w:rPr>
          <w:rFonts w:hint="eastAsia"/>
          <w:highlight w:val="none"/>
          <w:lang w:val="en-US" w:eastAsia="zh-CN"/>
        </w:rPr>
        <w:t>部</w:t>
      </w:r>
      <w:r>
        <w:rPr>
          <w:rFonts w:hint="eastAsia"/>
          <w:highlight w:val="none"/>
        </w:rPr>
        <w:t>物流公司服务</w:t>
      </w:r>
      <w:r>
        <w:rPr>
          <w:highlight w:val="none"/>
        </w:rPr>
        <w:t>，本地缺乏具有</w:t>
      </w:r>
      <w:r>
        <w:rPr>
          <w:rFonts w:hint="eastAsia"/>
          <w:highlight w:val="none"/>
        </w:rPr>
        <w:t>相应能力</w:t>
      </w:r>
      <w:r>
        <w:rPr>
          <w:highlight w:val="none"/>
        </w:rPr>
        <w:t>的物流服务企业</w:t>
      </w:r>
      <w:r>
        <w:rPr>
          <w:rFonts w:hint="eastAsia"/>
          <w:highlight w:val="none"/>
        </w:rPr>
        <w:t>，间接提高了我</w:t>
      </w:r>
      <w:r>
        <w:rPr>
          <w:rFonts w:hint="eastAsia"/>
          <w:highlight w:val="none"/>
          <w:lang w:val="en-US" w:eastAsia="zh-CN"/>
        </w:rPr>
        <w:t>县</w:t>
      </w:r>
      <w:r>
        <w:rPr>
          <w:rFonts w:hint="eastAsia"/>
          <w:highlight w:val="none"/>
        </w:rPr>
        <w:t>物流成本</w:t>
      </w:r>
      <w:r>
        <w:rPr>
          <w:highlight w:val="none"/>
        </w:rPr>
        <w:t>。</w:t>
      </w:r>
    </w:p>
    <w:p w14:paraId="46443572">
      <w:pPr>
        <w:bidi w:val="0"/>
        <w:rPr>
          <w:highlight w:val="none"/>
        </w:rPr>
      </w:pPr>
      <w:r>
        <w:rPr>
          <w:highlight w:val="none"/>
        </w:rPr>
        <w:t>物流基础设施有待完善，专业人才匮乏。我</w:t>
      </w:r>
      <w:r>
        <w:rPr>
          <w:rFonts w:hint="eastAsia"/>
          <w:highlight w:val="none"/>
          <w:lang w:val="en-US" w:eastAsia="zh-CN"/>
        </w:rPr>
        <w:t>县</w:t>
      </w:r>
      <w:r>
        <w:rPr>
          <w:highlight w:val="none"/>
        </w:rPr>
        <w:t>在专业物流</w:t>
      </w:r>
      <w:r>
        <w:rPr>
          <w:rFonts w:hint="eastAsia"/>
          <w:highlight w:val="none"/>
          <w:lang w:eastAsia="zh-CN"/>
        </w:rPr>
        <w:t>中心</w:t>
      </w:r>
      <w:r>
        <w:rPr>
          <w:highlight w:val="none"/>
        </w:rPr>
        <w:t>建设、干线物流整合等方面存在一定短板，目前规模化物流</w:t>
      </w:r>
      <w:r>
        <w:rPr>
          <w:rFonts w:hint="eastAsia"/>
          <w:highlight w:val="none"/>
          <w:lang w:eastAsia="zh-CN"/>
        </w:rPr>
        <w:t>中心</w:t>
      </w:r>
      <w:r>
        <w:rPr>
          <w:rFonts w:hint="eastAsia"/>
          <w:highlight w:val="none"/>
          <w:lang w:val="en-US" w:eastAsia="zh-CN"/>
        </w:rPr>
        <w:t>匮乏</w:t>
      </w:r>
      <w:r>
        <w:rPr>
          <w:highlight w:val="none"/>
        </w:rPr>
        <w:t>。</w:t>
      </w:r>
      <w:r>
        <w:rPr>
          <w:rFonts w:hint="eastAsia"/>
          <w:highlight w:val="none"/>
        </w:rPr>
        <w:t>物流通达能力不足，货物集散主要依托于</w:t>
      </w:r>
      <w:r>
        <w:rPr>
          <w:rFonts w:hint="eastAsia"/>
          <w:highlight w:val="none"/>
          <w:lang w:val="en-US" w:eastAsia="zh-CN"/>
        </w:rPr>
        <w:t>沈阳、通辽</w:t>
      </w:r>
      <w:r>
        <w:rPr>
          <w:rFonts w:hint="eastAsia"/>
          <w:highlight w:val="none"/>
        </w:rPr>
        <w:t>等周边城市，专线货运网络有待整合。</w:t>
      </w:r>
      <w:r>
        <w:rPr>
          <w:highlight w:val="none"/>
        </w:rPr>
        <w:t>物流行业从业人员存在学历较低、年龄过大等问题，缺少物流运输、仓储管理、供应链管理高级专业人才。</w:t>
      </w:r>
    </w:p>
    <w:p w14:paraId="36A1F1B3">
      <w:pPr>
        <w:bidi w:val="0"/>
        <w:rPr>
          <w:rFonts w:hint="eastAsia" w:eastAsia="仿宋_GB2312"/>
          <w:highlight w:val="none"/>
          <w:lang w:eastAsia="zh-CN"/>
        </w:rPr>
      </w:pPr>
      <w:r>
        <w:rPr>
          <w:rFonts w:hint="eastAsia"/>
          <w:highlight w:val="none"/>
          <w:lang w:eastAsia="zh-CN"/>
        </w:rPr>
        <w:t>业态模式传统，供应链意识差。</w:t>
      </w:r>
      <w:r>
        <w:rPr>
          <w:highlight w:val="none"/>
          <w:lang w:eastAsia="zh-CN"/>
        </w:rPr>
        <w:t>现有物流</w:t>
      </w:r>
      <w:r>
        <w:rPr>
          <w:rFonts w:hint="eastAsia"/>
          <w:highlight w:val="none"/>
          <w:lang w:eastAsia="zh-CN"/>
        </w:rPr>
        <w:t>中心</w:t>
      </w:r>
      <w:r>
        <w:rPr>
          <w:highlight w:val="none"/>
          <w:lang w:eastAsia="zh-CN"/>
        </w:rPr>
        <w:t>存在模式传统、业态单一、智能化程度低等问题，</w:t>
      </w:r>
      <w:r>
        <w:rPr>
          <w:rFonts w:hint="eastAsia"/>
          <w:highlight w:val="none"/>
          <w:lang w:eastAsia="zh-CN"/>
        </w:rPr>
        <w:t>多数中心仅有存储或运输的单一功能，无法满足当地产业及企业的综合需求。</w:t>
      </w:r>
      <w:r>
        <w:rPr>
          <w:rFonts w:hint="eastAsia"/>
          <w:highlight w:val="none"/>
          <w:lang w:val="en-US" w:eastAsia="zh-CN"/>
        </w:rPr>
        <w:t>本</w:t>
      </w:r>
      <w:r>
        <w:rPr>
          <w:rFonts w:hint="eastAsia"/>
          <w:highlight w:val="none"/>
          <w:lang w:eastAsia="zh-CN"/>
        </w:rPr>
        <w:t>地物流需求方与供应方对物流理解尚停留在“车队”层面，缺乏系统性的供应链管理概念，</w:t>
      </w:r>
      <w:r>
        <w:rPr>
          <w:highlight w:val="none"/>
          <w:lang w:eastAsia="zh-CN"/>
        </w:rPr>
        <w:t>供应链整体解决方案、第四方物流等前沿物流模式尚未开始普及</w:t>
      </w:r>
      <w:r>
        <w:rPr>
          <w:rFonts w:hint="eastAsia"/>
          <w:highlight w:val="none"/>
          <w:lang w:eastAsia="zh-CN"/>
        </w:rPr>
        <w:t>，</w:t>
      </w:r>
      <w:r>
        <w:rPr>
          <w:rFonts w:hint="eastAsia"/>
          <w:highlight w:val="none"/>
        </w:rPr>
        <w:t>信息化、智能化水平不高</w:t>
      </w:r>
      <w:r>
        <w:rPr>
          <w:rFonts w:hint="eastAsia"/>
          <w:highlight w:val="none"/>
          <w:lang w:eastAsia="zh-CN"/>
        </w:rPr>
        <w:t>。</w:t>
      </w:r>
    </w:p>
    <w:p w14:paraId="7BD45108">
      <w:pPr>
        <w:bidi w:val="0"/>
        <w:rPr>
          <w:highlight w:val="none"/>
        </w:rPr>
      </w:pPr>
      <w:r>
        <w:rPr>
          <w:rFonts w:hint="eastAsia"/>
          <w:highlight w:val="none"/>
          <w:lang w:val="en-US" w:eastAsia="zh-CN"/>
        </w:rPr>
        <w:t>彰武</w:t>
      </w:r>
      <w:r>
        <w:rPr>
          <w:rFonts w:hint="eastAsia"/>
          <w:highlight w:val="none"/>
        </w:rPr>
        <w:t>现代物流业虽形成一定规模，但物流业务主要围绕运输、仓储等单一环节进行，物流业务模式较为传统，服务链条短、附加值低，全链条服务以及智能化、平台化发展尚处于起步阶段。全</w:t>
      </w:r>
      <w:r>
        <w:rPr>
          <w:rFonts w:hint="eastAsia"/>
          <w:highlight w:val="none"/>
          <w:lang w:val="en-US" w:eastAsia="zh-CN"/>
        </w:rPr>
        <w:t>县</w:t>
      </w:r>
      <w:r>
        <w:rPr>
          <w:rFonts w:hint="eastAsia"/>
          <w:highlight w:val="none"/>
        </w:rPr>
        <w:t>物流信息公共平台尚未建立，网络货运平台、区块链、人工智能、大数据等先进信息技术应用尚属空白，不能对全</w:t>
      </w:r>
      <w:r>
        <w:rPr>
          <w:rFonts w:hint="eastAsia"/>
          <w:highlight w:val="none"/>
          <w:lang w:val="en-US" w:eastAsia="zh-CN"/>
        </w:rPr>
        <w:t>县</w:t>
      </w:r>
      <w:r>
        <w:rPr>
          <w:rFonts w:hint="eastAsia"/>
          <w:highlight w:val="none"/>
        </w:rPr>
        <w:t>既有物流资源进行有效整合。大部分企业缺乏现代物流信息手段，信息管理、电子数据交换和货物跟踪等技术尚未得到普遍应用。公共综合物流</w:t>
      </w:r>
      <w:r>
        <w:rPr>
          <w:rFonts w:hint="eastAsia"/>
          <w:highlight w:val="none"/>
          <w:lang w:eastAsia="zh-CN"/>
        </w:rPr>
        <w:t>中心</w:t>
      </w:r>
      <w:r>
        <w:rPr>
          <w:rFonts w:hint="eastAsia"/>
          <w:highlight w:val="none"/>
        </w:rPr>
        <w:t>运营管理“一站式”服务缺乏强有力的信息化、智能化技术支撑。托盘共用、温控、快递、城市配送等领域的专业化水平仍有较大提升空间。</w:t>
      </w:r>
    </w:p>
    <w:p w14:paraId="162DC12F">
      <w:pPr>
        <w:pStyle w:val="4"/>
        <w:bidi w:val="0"/>
        <w:rPr>
          <w:rFonts w:hint="default"/>
          <w:highlight w:val="none"/>
          <w:lang w:val="en-US" w:eastAsia="zh-CN"/>
        </w:rPr>
      </w:pPr>
      <w:r>
        <w:rPr>
          <w:rFonts w:hint="eastAsia"/>
          <w:highlight w:val="none"/>
        </w:rPr>
        <w:t>新发展格局提出新要求</w:t>
      </w:r>
    </w:p>
    <w:p w14:paraId="504D7395">
      <w:pPr>
        <w:bidi w:val="0"/>
        <w:rPr>
          <w:rFonts w:hint="eastAsia"/>
          <w:lang w:val="en-US" w:eastAsia="zh-CN"/>
        </w:rPr>
      </w:pPr>
      <w:r>
        <w:rPr>
          <w:rFonts w:hint="eastAsia"/>
          <w:lang w:val="en-US" w:eastAsia="zh-CN"/>
        </w:rPr>
        <w:t>新发展阶段，</w:t>
      </w:r>
      <w:r>
        <w:rPr>
          <w:rFonts w:hint="eastAsia"/>
        </w:rPr>
        <w:t>我国经济已由高速增长转向高质量发展阶段，</w:t>
      </w:r>
      <w:r>
        <w:t>2020年4月，习近平总书记在中央财经委员会第七次会议上首次提出构建以国内大循环为主体、国内国际双循环相互促进的新发展格局</w:t>
      </w:r>
      <w:r>
        <w:rPr>
          <w:rFonts w:hint="eastAsia"/>
          <w:lang w:eastAsia="zh-CN"/>
        </w:rPr>
        <w:t>，</w:t>
      </w:r>
      <w:r>
        <w:rPr>
          <w:lang w:val="en-US" w:eastAsia="zh-CN"/>
        </w:rPr>
        <w:t>着力提升产业链供应链韧性和安全水平</w:t>
      </w:r>
      <w:r>
        <w:rPr>
          <w:rFonts w:hint="eastAsia"/>
          <w:lang w:val="en-US" w:eastAsia="zh-CN"/>
        </w:rPr>
        <w:t>，</w:t>
      </w:r>
      <w:r>
        <w:rPr>
          <w:lang w:val="en-US" w:eastAsia="zh-CN"/>
        </w:rPr>
        <w:t>建设高效顺畅的流通体系，降低物流</w:t>
      </w:r>
      <w:r>
        <w:rPr>
          <w:rFonts w:hint="eastAsia"/>
          <w:lang w:val="en-US" w:eastAsia="zh-CN"/>
        </w:rPr>
        <w:t>成本。</w:t>
      </w:r>
    </w:p>
    <w:p w14:paraId="770AF063">
      <w:pPr>
        <w:bidi w:val="0"/>
        <w:rPr>
          <w:rFonts w:hint="eastAsia"/>
          <w:lang w:val="en-US" w:eastAsia="zh-CN"/>
        </w:rPr>
      </w:pPr>
      <w:r>
        <w:rPr>
          <w:rFonts w:hint="default"/>
          <w:lang w:val="en-US" w:eastAsia="zh-CN"/>
        </w:rPr>
        <w:t>2022</w:t>
      </w:r>
      <w:r>
        <w:rPr>
          <w:lang w:val="en-US" w:eastAsia="zh-CN"/>
        </w:rPr>
        <w:t>年</w:t>
      </w:r>
      <w:r>
        <w:rPr>
          <w:rFonts w:hint="default"/>
          <w:lang w:val="en-US" w:eastAsia="zh-CN"/>
        </w:rPr>
        <w:t>12</w:t>
      </w:r>
      <w:r>
        <w:rPr>
          <w:rFonts w:hint="eastAsia"/>
          <w:lang w:val="en-US" w:eastAsia="zh-CN"/>
        </w:rPr>
        <w:t>月，国务院办公厅印发《“十四五”现代物流发展规划》，作为我国现代物流领域第一份国家级五年规划，明确提升产业链供应链韧性和安全水平，推动构建现代物流体系，推进现代物流提质、增效、降本，为建设现代产业体系、形成强大国内市场、推动高水平对外开放提供有力支撑。</w:t>
      </w:r>
    </w:p>
    <w:p w14:paraId="1D45B245">
      <w:pPr>
        <w:bidi w:val="0"/>
        <w:rPr>
          <w:rFonts w:hint="default"/>
          <w:lang w:val="en-US" w:eastAsia="zh-CN"/>
        </w:rPr>
      </w:pPr>
      <w:r>
        <w:rPr>
          <w:rFonts w:hint="eastAsia"/>
          <w:lang w:val="en-US" w:eastAsia="zh-CN"/>
        </w:rPr>
        <w:t>2024年1月，辽宁省人民政府《辽宁省推动经济稳中求进若干政策举措》中提出，支持各地改造升级县级物流配送中心、乡镇商贸中心、集贸市场和直营连锁店，鼓励邮政、快递企业加强与农村集体经济主体、合作社、大农户合作，加大冷链前置仓建设力度，助力农村经营主体发展，推动快递物流企业为客户提供仓储、打包、发货一体化服务。</w:t>
      </w:r>
      <w:r>
        <w:rPr>
          <w:rFonts w:hint="default"/>
          <w:lang w:val="en-US" w:eastAsia="zh-CN"/>
        </w:rPr>
        <w:t>要充分发挥</w:t>
      </w:r>
      <w:r>
        <w:rPr>
          <w:rFonts w:hint="eastAsia"/>
          <w:lang w:val="en-US" w:eastAsia="zh-CN"/>
        </w:rPr>
        <w:t>彰武县</w:t>
      </w:r>
      <w:r>
        <w:rPr>
          <w:rFonts w:hint="default"/>
          <w:lang w:val="en-US" w:eastAsia="zh-CN"/>
        </w:rPr>
        <w:t>物流</w:t>
      </w:r>
      <w:r>
        <w:rPr>
          <w:rFonts w:hint="eastAsia"/>
          <w:lang w:val="en-US" w:eastAsia="zh-CN"/>
        </w:rPr>
        <w:t>中心</w:t>
      </w:r>
      <w:r>
        <w:rPr>
          <w:rFonts w:hint="default"/>
          <w:lang w:val="en-US" w:eastAsia="zh-CN"/>
        </w:rPr>
        <w:t>设施基础好、通道网络辐射广的优势，优化物流空间布局和服务组织方式，加快构建内外联通、高效运作</w:t>
      </w:r>
      <w:r>
        <w:rPr>
          <w:rFonts w:hint="eastAsia"/>
          <w:lang w:val="en-US" w:eastAsia="zh-CN"/>
        </w:rPr>
        <w:t>的</w:t>
      </w:r>
      <w:r>
        <w:rPr>
          <w:rFonts w:hint="default"/>
          <w:lang w:val="en-US" w:eastAsia="zh-CN"/>
        </w:rPr>
        <w:t>现代物流运行体系</w:t>
      </w:r>
      <w:r>
        <w:rPr>
          <w:rFonts w:hint="eastAsia"/>
          <w:lang w:val="en-US" w:eastAsia="zh-CN"/>
        </w:rPr>
        <w:t>。</w:t>
      </w:r>
    </w:p>
    <w:p w14:paraId="1C932BA6">
      <w:pPr>
        <w:pStyle w:val="4"/>
        <w:bidi w:val="0"/>
        <w:rPr>
          <w:rFonts w:hint="default"/>
          <w:highlight w:val="none"/>
          <w:lang w:val="en-US" w:eastAsia="zh-CN"/>
        </w:rPr>
      </w:pPr>
      <w:r>
        <w:rPr>
          <w:rFonts w:hint="eastAsia"/>
          <w:highlight w:val="none"/>
          <w:lang w:val="en-US" w:eastAsia="zh-CN"/>
        </w:rPr>
        <w:t>区域</w:t>
      </w:r>
      <w:r>
        <w:rPr>
          <w:rFonts w:hint="default"/>
          <w:highlight w:val="none"/>
          <w:lang w:val="en-US" w:eastAsia="zh-CN"/>
        </w:rPr>
        <w:t>战略叠加创造新机遇</w:t>
      </w:r>
    </w:p>
    <w:p w14:paraId="4CC5CE6C">
      <w:pPr>
        <w:bidi w:val="0"/>
        <w:rPr>
          <w:rFonts w:hint="eastAsia" w:ascii="仿宋" w:hAnsi="仿宋" w:cs="仿宋"/>
          <w:color w:val="000000"/>
          <w:kern w:val="0"/>
          <w:szCs w:val="31"/>
          <w:highlight w:val="none"/>
          <w:lang w:val="en-US" w:eastAsia="zh-CN" w:bidi="ar"/>
        </w:rPr>
      </w:pPr>
      <w:r>
        <w:rPr>
          <w:rFonts w:hint="eastAsia"/>
          <w:lang w:val="en-US" w:eastAsia="zh-CN"/>
        </w:rPr>
        <w:t>“</w:t>
      </w:r>
      <w:r>
        <w:rPr>
          <w:rFonts w:hint="default"/>
          <w:lang w:val="en-US" w:eastAsia="zh-CN"/>
        </w:rPr>
        <w:t>一带一路</w:t>
      </w:r>
      <w:r>
        <w:rPr>
          <w:rFonts w:hint="eastAsia"/>
          <w:lang w:val="en-US" w:eastAsia="zh-CN"/>
        </w:rPr>
        <w:t>”倡议、“沈阳都市圈战略”</w:t>
      </w:r>
      <w:r>
        <w:rPr>
          <w:rFonts w:hint="default"/>
          <w:lang w:val="en-US" w:eastAsia="zh-CN"/>
        </w:rPr>
        <w:t>等</w:t>
      </w:r>
      <w:r>
        <w:rPr>
          <w:rFonts w:hint="eastAsia"/>
          <w:lang w:val="en-US" w:eastAsia="zh-CN"/>
        </w:rPr>
        <w:t>为彰武县</w:t>
      </w:r>
      <w:r>
        <w:rPr>
          <w:rFonts w:hint="default"/>
          <w:lang w:val="en-US" w:eastAsia="zh-CN"/>
        </w:rPr>
        <w:t>实现更高质量的一体化发展</w:t>
      </w:r>
      <w:r>
        <w:rPr>
          <w:rFonts w:hint="eastAsia"/>
          <w:lang w:val="en-US" w:eastAsia="zh-CN"/>
        </w:rPr>
        <w:t>创造了</w:t>
      </w:r>
      <w:r>
        <w:rPr>
          <w:rFonts w:hint="default"/>
          <w:lang w:val="en-US" w:eastAsia="zh-CN"/>
        </w:rPr>
        <w:t>新机遇空间。</w:t>
      </w:r>
      <w:r>
        <w:rPr>
          <w:rFonts w:hint="eastAsia"/>
          <w:lang w:val="en-US" w:eastAsia="zh-CN"/>
        </w:rPr>
        <w:t>中俄蒙经济走廊是国家“一带一路”倡议的重要组成部分，辽宁占据陆海通道优势，是亚欧大陆东端的重要枢纽，彰武县位于辽宁省西北部，地处</w:t>
      </w:r>
      <w:r>
        <w:rPr>
          <w:rFonts w:hint="default"/>
          <w:lang w:val="en-US" w:eastAsia="zh-CN"/>
        </w:rPr>
        <w:t>内蒙古南行要冲</w:t>
      </w:r>
      <w:r>
        <w:rPr>
          <w:rFonts w:hint="eastAsia"/>
          <w:lang w:val="en-US" w:eastAsia="zh-CN"/>
        </w:rPr>
        <w:t>，是东北入关的咽喉，其优越的地理位置使其能够在中俄蒙经济走廊的贸易往来和物流运输中发挥重要的节点作用，成为连接各方的关键枢纽。彰武县地处沈阳1小时交通圈，</w:t>
      </w:r>
      <w:r>
        <w:rPr>
          <w:rFonts w:hint="default"/>
          <w:lang w:val="en-US" w:eastAsia="zh-CN"/>
        </w:rPr>
        <w:t>长深高速和沈通高速在彰武交叉通过，国道101线横跨东西连接京沈，304线、大郑铁路纵贯南北</w:t>
      </w:r>
      <w:r>
        <w:rPr>
          <w:rFonts w:hint="eastAsia"/>
          <w:lang w:val="en-US" w:eastAsia="zh-CN"/>
        </w:rPr>
        <w:t>，</w:t>
      </w:r>
      <w:r>
        <w:rPr>
          <w:rFonts w:hint="default"/>
          <w:lang w:val="en-US" w:eastAsia="zh-CN"/>
        </w:rPr>
        <w:t>通辽至京沈客专连接线建成运营后，彰武到沈阳的车程</w:t>
      </w:r>
      <w:r>
        <w:rPr>
          <w:rFonts w:hint="eastAsia"/>
          <w:lang w:val="en-US" w:eastAsia="zh-CN"/>
        </w:rPr>
        <w:t>已经</w:t>
      </w:r>
      <w:r>
        <w:rPr>
          <w:rFonts w:hint="default"/>
          <w:lang w:val="en-US" w:eastAsia="zh-CN"/>
        </w:rPr>
        <w:t>缩短至</w:t>
      </w:r>
      <w:r>
        <w:rPr>
          <w:rFonts w:hint="eastAsia"/>
          <w:lang w:val="en-US" w:eastAsia="zh-CN"/>
        </w:rPr>
        <w:t>50</w:t>
      </w:r>
      <w:r>
        <w:rPr>
          <w:rFonts w:hint="default"/>
          <w:lang w:val="en-US" w:eastAsia="zh-CN"/>
        </w:rPr>
        <w:t>分钟</w:t>
      </w:r>
      <w:r>
        <w:rPr>
          <w:rFonts w:hint="eastAsia"/>
          <w:lang w:val="en-US" w:eastAsia="zh-CN"/>
        </w:rPr>
        <w:t>，便捷的交通网络为货物运输、人员流动以及经济交流提供了有力支持，有利于彰武县更好地融入中俄蒙经济走廊的发展，促进区域间的互联互通。</w:t>
      </w:r>
    </w:p>
    <w:p w14:paraId="76FB42A9">
      <w:pPr>
        <w:pStyle w:val="4"/>
        <w:bidi w:val="0"/>
        <w:rPr>
          <w:rFonts w:hint="default"/>
          <w:highlight w:val="none"/>
          <w:lang w:val="en-US" w:eastAsia="zh-CN"/>
        </w:rPr>
      </w:pPr>
      <w:r>
        <w:rPr>
          <w:rFonts w:hint="default"/>
          <w:highlight w:val="none"/>
          <w:lang w:val="en-US" w:eastAsia="zh-CN"/>
        </w:rPr>
        <w:t>现代产业</w:t>
      </w:r>
      <w:r>
        <w:rPr>
          <w:rFonts w:hint="eastAsia"/>
          <w:highlight w:val="none"/>
          <w:lang w:val="en-US" w:eastAsia="zh-CN"/>
        </w:rPr>
        <w:t>激发新融合</w:t>
      </w:r>
    </w:p>
    <w:p w14:paraId="3482B39B">
      <w:pPr>
        <w:keepNext w:val="0"/>
        <w:keepLines w:val="0"/>
        <w:widowControl/>
        <w:suppressLineNumbers w:val="0"/>
        <w:jc w:val="left"/>
        <w:rPr>
          <w:rFonts w:hint="default"/>
          <w:b w:val="0"/>
          <w:bCs w:val="0"/>
          <w:highlight w:val="none"/>
          <w:lang w:val="en-US" w:eastAsia="zh-CN"/>
        </w:rPr>
      </w:pPr>
      <w:r>
        <w:rPr>
          <w:rFonts w:hint="default"/>
          <w:b w:val="0"/>
          <w:bCs w:val="0"/>
          <w:highlight w:val="none"/>
          <w:lang w:val="en-US" w:eastAsia="zh-CN"/>
        </w:rPr>
        <w:t>当前，制造业面临发达国家</w:t>
      </w:r>
      <w:r>
        <w:rPr>
          <w:rFonts w:hint="eastAsia"/>
          <w:b w:val="0"/>
          <w:bCs w:val="0"/>
          <w:highlight w:val="none"/>
          <w:lang w:val="en-US" w:eastAsia="zh-CN"/>
        </w:rPr>
        <w:t>“</w:t>
      </w:r>
      <w:r>
        <w:rPr>
          <w:rFonts w:hint="default"/>
          <w:b w:val="0"/>
          <w:bCs w:val="0"/>
          <w:highlight w:val="none"/>
          <w:lang w:val="en-US" w:eastAsia="zh-CN"/>
        </w:rPr>
        <w:t>高端回流</w:t>
      </w:r>
      <w:r>
        <w:rPr>
          <w:rFonts w:hint="eastAsia"/>
          <w:b w:val="0"/>
          <w:bCs w:val="0"/>
          <w:highlight w:val="none"/>
          <w:lang w:val="en-US" w:eastAsia="zh-CN"/>
        </w:rPr>
        <w:t>”</w:t>
      </w:r>
      <w:r>
        <w:rPr>
          <w:rFonts w:hint="default"/>
          <w:b w:val="0"/>
          <w:bCs w:val="0"/>
          <w:highlight w:val="none"/>
          <w:lang w:val="en-US" w:eastAsia="zh-CN"/>
        </w:rPr>
        <w:t>和发展中国家</w:t>
      </w:r>
      <w:r>
        <w:rPr>
          <w:rFonts w:hint="eastAsia"/>
          <w:b w:val="0"/>
          <w:bCs w:val="0"/>
          <w:highlight w:val="none"/>
          <w:lang w:val="en-US" w:eastAsia="zh-CN"/>
        </w:rPr>
        <w:t>“</w:t>
      </w:r>
      <w:r>
        <w:rPr>
          <w:rFonts w:hint="default"/>
          <w:b w:val="0"/>
          <w:bCs w:val="0"/>
          <w:highlight w:val="none"/>
          <w:lang w:val="en-US" w:eastAsia="zh-CN"/>
        </w:rPr>
        <w:t>中低端分流</w:t>
      </w:r>
      <w:r>
        <w:rPr>
          <w:rFonts w:hint="eastAsia"/>
          <w:b w:val="0"/>
          <w:bCs w:val="0"/>
          <w:highlight w:val="none"/>
          <w:lang w:val="en-US" w:eastAsia="zh-CN"/>
        </w:rPr>
        <w:t>”</w:t>
      </w:r>
      <w:r>
        <w:rPr>
          <w:rFonts w:hint="default"/>
          <w:b w:val="0"/>
          <w:bCs w:val="0"/>
          <w:highlight w:val="none"/>
          <w:lang w:val="en-US" w:eastAsia="zh-CN"/>
        </w:rPr>
        <w:t>的双重挤压，产业链供应链自主安全可控面临严峻挑战，供应链本土化、短链化和快速响应成为发展趋势。</w:t>
      </w:r>
    </w:p>
    <w:p w14:paraId="35921C9F">
      <w:pPr>
        <w:keepNext w:val="0"/>
        <w:keepLines w:val="0"/>
        <w:widowControl/>
        <w:suppressLineNumbers w:val="0"/>
        <w:jc w:val="left"/>
        <w:rPr>
          <w:rFonts w:hint="eastAsia" w:eastAsia="仿宋"/>
          <w:color w:val="000000"/>
          <w:sz w:val="32"/>
          <w:szCs w:val="22"/>
          <w:highlight w:val="none"/>
          <w:lang w:val="en-US" w:eastAsia="zh-CN"/>
        </w:rPr>
      </w:pPr>
      <w:r>
        <w:rPr>
          <w:color w:val="000000"/>
          <w:sz w:val="32"/>
          <w:szCs w:val="22"/>
          <w:highlight w:val="none"/>
        </w:rPr>
        <w:t>《</w:t>
      </w:r>
      <w:r>
        <w:rPr>
          <w:rFonts w:hint="eastAsia"/>
          <w:b w:val="0"/>
          <w:bCs w:val="0"/>
          <w:highlight w:val="none"/>
          <w:lang w:val="en-US" w:eastAsia="zh-CN"/>
        </w:rPr>
        <w:t>彰武县</w:t>
      </w:r>
      <w:r>
        <w:rPr>
          <w:rFonts w:hint="default"/>
          <w:b w:val="0"/>
          <w:bCs w:val="0"/>
          <w:highlight w:val="none"/>
          <w:lang w:val="en-US" w:eastAsia="zh-CN"/>
        </w:rPr>
        <w:t>国民经济和社会发展第十四个五年规划和二◯三五年远景目标纲要》</w:t>
      </w:r>
      <w:r>
        <w:rPr>
          <w:rFonts w:hint="eastAsia"/>
          <w:b w:val="0"/>
          <w:bCs w:val="0"/>
          <w:highlight w:val="none"/>
          <w:lang w:val="en-US" w:eastAsia="zh-CN"/>
        </w:rPr>
        <w:t>明确了彰武县“工业强县”战略和紧盯“</w:t>
      </w:r>
      <w:r>
        <w:rPr>
          <w:rFonts w:hint="default"/>
          <w:b w:val="0"/>
          <w:bCs w:val="0"/>
          <w:highlight w:val="none"/>
          <w:lang w:val="en-US" w:eastAsia="zh-CN"/>
        </w:rPr>
        <w:t>硅砂工业、绿色食品和新能源</w:t>
      </w:r>
      <w:r>
        <w:rPr>
          <w:rFonts w:hint="eastAsia"/>
          <w:b w:val="0"/>
          <w:bCs w:val="0"/>
          <w:highlight w:val="none"/>
          <w:lang w:val="en-US" w:eastAsia="zh-CN"/>
        </w:rPr>
        <w:t>”三大工业板块发展方向。</w:t>
      </w:r>
      <w:r>
        <w:rPr>
          <w:rFonts w:hint="default"/>
          <w:b w:val="0"/>
          <w:bCs w:val="0"/>
          <w:highlight w:val="none"/>
          <w:lang w:val="en-US" w:eastAsia="zh-CN"/>
        </w:rPr>
        <w:t>为支撑推动</w:t>
      </w:r>
      <w:r>
        <w:rPr>
          <w:rFonts w:hint="eastAsia"/>
          <w:b w:val="0"/>
          <w:bCs w:val="0"/>
          <w:highlight w:val="none"/>
          <w:lang w:val="en-US" w:eastAsia="zh-CN"/>
        </w:rPr>
        <w:t>彰武县</w:t>
      </w:r>
      <w:r>
        <w:rPr>
          <w:rFonts w:hint="default"/>
          <w:b w:val="0"/>
          <w:bCs w:val="0"/>
          <w:highlight w:val="none"/>
          <w:lang w:val="en-US" w:eastAsia="zh-CN"/>
        </w:rPr>
        <w:t>产业高质量创新发展，需充分发挥物流对产业发展“催化剂”、供应链“润滑剂”的关键作用，推动物流业与制造、商贸、农业等相关</w:t>
      </w:r>
      <w:r>
        <w:rPr>
          <w:color w:val="000000"/>
          <w:sz w:val="32"/>
          <w:szCs w:val="22"/>
          <w:highlight w:val="none"/>
        </w:rPr>
        <w:t>产</w:t>
      </w:r>
      <w:r>
        <w:rPr>
          <w:rFonts w:hint="default"/>
          <w:b w:val="0"/>
          <w:bCs w:val="0"/>
          <w:highlight w:val="none"/>
          <w:lang w:val="en-US" w:eastAsia="zh-CN"/>
        </w:rPr>
        <w:t>业深度融合、协同发展，从产业发展实际需求和区域布局出发，加快补齐物流基础设施、业态功能、技术装备等方面短板，以优质高效的物流服务畅通原材料运输、产成品分销、售后服务等产业发展全生命周期，实现产业降本提质</w:t>
      </w:r>
      <w:r>
        <w:rPr>
          <w:rFonts w:hint="eastAsia"/>
          <w:b w:val="0"/>
          <w:bCs w:val="0"/>
          <w:highlight w:val="none"/>
          <w:lang w:val="en-US" w:eastAsia="zh-CN"/>
        </w:rPr>
        <w:t>。</w:t>
      </w:r>
    </w:p>
    <w:p w14:paraId="3FF303EF">
      <w:pPr>
        <w:pStyle w:val="4"/>
        <w:bidi w:val="0"/>
        <w:rPr>
          <w:rFonts w:hint="eastAsia"/>
          <w:highlight w:val="none"/>
          <w:lang w:val="en-US" w:eastAsia="zh-CN"/>
        </w:rPr>
      </w:pPr>
      <w:r>
        <w:rPr>
          <w:rFonts w:hint="eastAsia"/>
          <w:highlight w:val="none"/>
          <w:lang w:val="en-US" w:eastAsia="zh-CN"/>
        </w:rPr>
        <w:t>新兴技术赋予新动能</w:t>
      </w:r>
    </w:p>
    <w:p w14:paraId="3CCFB8C0">
      <w:pPr>
        <w:bidi w:val="0"/>
        <w:rPr>
          <w:rFonts w:hint="eastAsia"/>
          <w:lang w:eastAsia="zh-CN"/>
        </w:rPr>
      </w:pPr>
      <w:r>
        <w:t>当前，人工智能、物联网、5G、区块链等新一代数字技术正加速赋能物流业发展，“双碳”战略在交通物流等重点行业中加速推进，传统物流模式逐渐难以满足国民经济发展和人民生产生活需求，低碳化、数字化已成为物流业未来发展的重点方向、必由之路</w:t>
      </w:r>
      <w:r>
        <w:rPr>
          <w:rFonts w:hint="eastAsia"/>
          <w:lang w:val="en-US" w:eastAsia="zh-CN"/>
        </w:rPr>
        <w:t>，</w:t>
      </w:r>
      <w:r>
        <w:t>为此，</w:t>
      </w:r>
      <w:r>
        <w:rPr>
          <w:rFonts w:hint="eastAsia"/>
          <w:lang w:val="en-US" w:eastAsia="zh-CN"/>
        </w:rPr>
        <w:t>彰武县</w:t>
      </w:r>
      <w:r>
        <w:t>需聚焦物流科技创新，着力培育智慧物流、网络货运等新模式新业态</w:t>
      </w:r>
      <w:r>
        <w:rPr>
          <w:rFonts w:hint="eastAsia"/>
          <w:lang w:eastAsia="zh-CN"/>
        </w:rPr>
        <w:t>，</w:t>
      </w:r>
      <w:r>
        <w:rPr>
          <w:rFonts w:hint="eastAsia"/>
          <w:lang w:val="en-US" w:eastAsia="zh-CN"/>
        </w:rPr>
        <w:t>加强冷链物流基础设施建设</w:t>
      </w:r>
      <w:r>
        <w:t>，加快提升行业竞争力和支撑服务水平，助力提升人民生活品质和社会生产效率，促进消费扩容升级、培育经济新增长点</w:t>
      </w:r>
      <w:r>
        <w:rPr>
          <w:rFonts w:hint="eastAsia"/>
          <w:lang w:eastAsia="zh-CN"/>
        </w:rPr>
        <w:t>。</w:t>
      </w:r>
    </w:p>
    <w:p w14:paraId="7923CA2F">
      <w:pPr>
        <w:bidi w:val="0"/>
        <w:rPr>
          <w:rFonts w:hint="eastAsia"/>
          <w:lang w:eastAsia="zh-CN"/>
        </w:rPr>
      </w:pPr>
    </w:p>
    <w:p w14:paraId="38EA1045">
      <w:pPr>
        <w:bidi w:val="0"/>
        <w:rPr>
          <w:rFonts w:hint="eastAsia"/>
          <w:lang w:eastAsia="zh-CN"/>
        </w:rPr>
      </w:pPr>
    </w:p>
    <w:p w14:paraId="5ABFB0BA">
      <w:pPr>
        <w:bidi w:val="0"/>
        <w:rPr>
          <w:rFonts w:hint="eastAsia"/>
          <w:lang w:eastAsia="zh-CN"/>
        </w:rPr>
        <w:sectPr>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pPr>
    </w:p>
    <w:p w14:paraId="4D20507E">
      <w:pPr>
        <w:pStyle w:val="2"/>
        <w:bidi w:val="0"/>
        <w:rPr>
          <w:highlight w:val="none"/>
        </w:rPr>
      </w:pPr>
      <w:bookmarkStart w:id="38" w:name="_Toc26161"/>
      <w:r>
        <w:rPr>
          <w:rFonts w:hint="eastAsia"/>
          <w:highlight w:val="none"/>
          <w:lang w:val="en-US" w:eastAsia="zh-CN"/>
        </w:rPr>
        <w:t>发展战略</w:t>
      </w:r>
      <w:bookmarkEnd w:id="38"/>
    </w:p>
    <w:p w14:paraId="79A37EED">
      <w:pPr>
        <w:pStyle w:val="3"/>
        <w:bidi w:val="0"/>
        <w:rPr>
          <w:rFonts w:hint="eastAsia"/>
          <w:highlight w:val="none"/>
        </w:rPr>
      </w:pPr>
      <w:bookmarkStart w:id="39" w:name="_Toc4888"/>
      <w:bookmarkStart w:id="40" w:name="_Toc551"/>
      <w:bookmarkStart w:id="41" w:name="_Toc3804"/>
      <w:r>
        <w:rPr>
          <w:rFonts w:hint="eastAsia"/>
          <w:highlight w:val="none"/>
          <w:lang w:val="en-US" w:eastAsia="zh-CN"/>
        </w:rPr>
        <w:t>指导思想</w:t>
      </w:r>
      <w:bookmarkEnd w:id="39"/>
      <w:bookmarkEnd w:id="40"/>
      <w:bookmarkEnd w:id="41"/>
    </w:p>
    <w:p w14:paraId="426D3DBA">
      <w:pPr>
        <w:bidi w:val="0"/>
        <w:rPr>
          <w:highlight w:val="none"/>
        </w:rPr>
      </w:pPr>
      <w:r>
        <w:rPr>
          <w:rFonts w:hint="default"/>
          <w:highlight w:val="none"/>
          <w:lang w:val="en-US" w:eastAsia="zh-CN"/>
        </w:rPr>
        <w:t>高举中国特色社会主义伟大旗帜，坚持以习近平新时代中国特色社会主义思想为指导，坚定不移贯彻创新、协调、绿色、开放、共享的新发展理念，坚持稳中求进工作总基调，以推动高质量发展为主题，以深化供给侧结构性改革为主线，以改革创新为根本动力，以满足人民日益增长的美好生活需要为根本目的，聚焦现代物流“提质、增效、降本”，积极构建物流体系新发展格局，统筹发展和安全，整合现有物流资源、优化空间布局、完善物流管理体制和服务功能，</w:t>
      </w:r>
      <w:r>
        <w:rPr>
          <w:rFonts w:hint="eastAsia"/>
          <w:highlight w:val="none"/>
        </w:rPr>
        <w:t>着力构建</w:t>
      </w:r>
      <w:r>
        <w:rPr>
          <w:rFonts w:hint="eastAsia"/>
          <w:highlight w:val="none"/>
          <w:lang w:eastAsia="zh-CN"/>
        </w:rPr>
        <w:t>彰武县</w:t>
      </w:r>
      <w:r>
        <w:rPr>
          <w:rFonts w:hint="eastAsia"/>
          <w:highlight w:val="none"/>
        </w:rPr>
        <w:t>在多式联运、冷链物流、快递物流、大宗生产资料物流等领域的核心竞争力，畅通“省会</w:t>
      </w:r>
      <w:r>
        <w:rPr>
          <w:highlight w:val="none"/>
        </w:rPr>
        <w:t>-</w:t>
      </w:r>
      <w:r>
        <w:rPr>
          <w:rFonts w:hint="eastAsia"/>
          <w:highlight w:val="none"/>
          <w:lang w:val="en-US" w:eastAsia="zh-CN"/>
        </w:rPr>
        <w:t>彰武-内蒙</w:t>
      </w:r>
      <w:r>
        <w:rPr>
          <w:rFonts w:hint="eastAsia"/>
          <w:highlight w:val="none"/>
        </w:rPr>
        <w:t>”物流通道，打造有区域影响力的生产服务型物流枢纽。</w:t>
      </w:r>
    </w:p>
    <w:p w14:paraId="08C2DE1F">
      <w:pPr>
        <w:pStyle w:val="3"/>
        <w:bidi w:val="0"/>
        <w:rPr>
          <w:rFonts w:hint="eastAsia"/>
          <w:highlight w:val="none"/>
          <w:lang w:eastAsia="zh-CN"/>
        </w:rPr>
      </w:pPr>
      <w:bookmarkStart w:id="42" w:name="_Toc16097"/>
      <w:bookmarkStart w:id="43" w:name="_Toc31416"/>
      <w:bookmarkStart w:id="44" w:name="_Toc30273"/>
      <w:r>
        <w:rPr>
          <w:rFonts w:hint="eastAsia"/>
          <w:highlight w:val="none"/>
          <w:lang w:val="en-US" w:eastAsia="zh-CN"/>
        </w:rPr>
        <w:t>发展原则</w:t>
      </w:r>
      <w:bookmarkEnd w:id="42"/>
      <w:bookmarkEnd w:id="43"/>
      <w:bookmarkEnd w:id="44"/>
    </w:p>
    <w:p w14:paraId="48146F0F">
      <w:pPr>
        <w:bidi w:val="0"/>
        <w:rPr>
          <w:rFonts w:hint="eastAsia"/>
          <w:highlight w:val="none"/>
          <w:lang w:val="en-US" w:eastAsia="zh-CN"/>
        </w:rPr>
      </w:pPr>
      <w:r>
        <w:rPr>
          <w:rFonts w:hint="eastAsia"/>
          <w:highlight w:val="none"/>
          <w:lang w:val="en-US" w:eastAsia="zh-CN"/>
        </w:rPr>
        <w:t>1、整合存量、统筹发展原则</w:t>
      </w:r>
    </w:p>
    <w:p w14:paraId="4032367E">
      <w:pPr>
        <w:rPr>
          <w:rFonts w:hint="eastAsia"/>
          <w:highlight w:val="none"/>
          <w:lang w:val="en-US" w:eastAsia="zh-CN"/>
        </w:rPr>
      </w:pPr>
      <w:r>
        <w:rPr>
          <w:rFonts w:hint="eastAsia"/>
          <w:highlight w:val="none"/>
          <w:lang w:val="en-US" w:eastAsia="zh-CN"/>
        </w:rPr>
        <w:t>以现有物流资源为基础，以构建现代物流服务体系为目标，根据城市体系差异化的区位特征和资源优势，充分利用现有的物流基础条件，优化资源组合，运用现代电子信息网络技术和先进管理手段，将现有物流资源从功能和效用上进行全面提升。同时，加快物流产业转型升级，统筹考虑彰武县现代物流产业与一、二、三产业的协同发展，形成物流主体多元化、物流服务专业化的发展格局。</w:t>
      </w:r>
    </w:p>
    <w:p w14:paraId="76A63675">
      <w:pPr>
        <w:bidi w:val="0"/>
        <w:rPr>
          <w:rFonts w:hint="eastAsia"/>
          <w:highlight w:val="none"/>
          <w:lang w:val="en-US" w:eastAsia="zh-CN"/>
        </w:rPr>
      </w:pPr>
      <w:r>
        <w:rPr>
          <w:rFonts w:hint="eastAsia"/>
          <w:highlight w:val="none"/>
          <w:lang w:val="en-US" w:eastAsia="zh-CN"/>
        </w:rPr>
        <w:t>2、政府引导、协调发展原则</w:t>
      </w:r>
    </w:p>
    <w:p w14:paraId="538AB755">
      <w:pPr>
        <w:rPr>
          <w:rFonts w:hint="eastAsia"/>
          <w:highlight w:val="none"/>
          <w:lang w:val="en-US" w:eastAsia="zh-CN"/>
        </w:rPr>
      </w:pPr>
      <w:r>
        <w:rPr>
          <w:rFonts w:hint="eastAsia"/>
          <w:highlight w:val="none"/>
          <w:lang w:val="en-US" w:eastAsia="zh-CN"/>
        </w:rPr>
        <w:t>坚持从市场经济规律出发，发挥政府在物流产业规划、项目、资金、税费等方面的引导作用，为现代物流业发展营造良好的氛围以及运营环境，引导物流业集聚化、集约化发展。同时，发挥市场在资源配置中的决定性作用，运用市场机制推进企业在物流节点建设、行业规范、服务创新等方面的主体作用。加强区域物流合作，实现区域物流规划与城市总规、城市土地利用规划、农业规划、工业规划、服务业规划等相关规划的统一，并与全县交通的建设和规划相协调。</w:t>
      </w:r>
    </w:p>
    <w:p w14:paraId="54761C6D">
      <w:pPr>
        <w:bidi w:val="0"/>
        <w:rPr>
          <w:rFonts w:hint="eastAsia"/>
          <w:highlight w:val="none"/>
          <w:lang w:val="en-US" w:eastAsia="zh-CN"/>
        </w:rPr>
      </w:pPr>
      <w:r>
        <w:rPr>
          <w:rFonts w:hint="eastAsia"/>
          <w:highlight w:val="none"/>
          <w:lang w:val="en-US" w:eastAsia="zh-CN"/>
        </w:rPr>
        <w:t>3、产业融合、特色发展原则</w:t>
      </w:r>
    </w:p>
    <w:p w14:paraId="4F099D09">
      <w:pPr>
        <w:rPr>
          <w:rFonts w:hint="eastAsia"/>
          <w:highlight w:val="none"/>
          <w:lang w:val="en-US" w:eastAsia="zh-CN"/>
        </w:rPr>
      </w:pPr>
      <w:r>
        <w:rPr>
          <w:rFonts w:hint="eastAsia"/>
          <w:highlight w:val="none"/>
          <w:lang w:val="en-US" w:eastAsia="zh-CN"/>
        </w:rPr>
        <w:t>从彰武县实际出发，明确物流发展重点。充分发挥区位、交通等方面的优势，围绕交通节点和重点产业聚集区，合理布局物流项目，打造具有区域特色的现代物流服务体系。在现代物流服务体系规划阶段必须发挥自身优势、整合现有资源，对现有物流基础设施以及交通网络进行规划、改建和新建，并与现有物流服务相关企业以及聚集区相结合，充分体现彰武县现代物流业与其他产业的融合发展。</w:t>
      </w:r>
    </w:p>
    <w:p w14:paraId="09C5F364">
      <w:pPr>
        <w:bidi w:val="0"/>
        <w:rPr>
          <w:rFonts w:hint="eastAsia"/>
          <w:highlight w:val="none"/>
          <w:lang w:val="en-US" w:eastAsia="zh-CN"/>
        </w:rPr>
      </w:pPr>
      <w:r>
        <w:rPr>
          <w:rFonts w:hint="eastAsia"/>
          <w:highlight w:val="none"/>
          <w:lang w:val="en-US" w:eastAsia="zh-CN"/>
        </w:rPr>
        <w:t>4、集约用地、绿色发展原则</w:t>
      </w:r>
    </w:p>
    <w:p w14:paraId="0FC4CC69">
      <w:pPr>
        <w:bidi w:val="0"/>
        <w:rPr>
          <w:rFonts w:hint="eastAsia"/>
          <w:highlight w:val="none"/>
          <w:lang w:val="en-US" w:eastAsia="zh-CN"/>
        </w:rPr>
      </w:pPr>
      <w:r>
        <w:rPr>
          <w:rFonts w:hint="eastAsia"/>
          <w:highlight w:val="none"/>
          <w:lang w:val="en-US" w:eastAsia="zh-CN"/>
        </w:rPr>
        <w:t>物流基础设施的选址及规模，应立足于现有物流基础设施和用地规划，并主动与沈阳、京津冀都市圈进行联动，合理规划、战略留白，形成物流聚集区。在物流空间布局方面，应进一步优化物流业空间布局，建设现代化综合物流网络体系：充分考虑彰武县物流业与环境系统的紧密关系，将生态环境保护理念，贯穿于物流业的可持续发展过程，从而实现低消耗、高效益、低污染和低生态破坏的目标。</w:t>
      </w:r>
    </w:p>
    <w:p w14:paraId="67A14B09">
      <w:pPr>
        <w:bidi w:val="0"/>
        <w:rPr>
          <w:highlight w:val="none"/>
        </w:rPr>
      </w:pPr>
      <w:r>
        <w:rPr>
          <w:rFonts w:hint="eastAsia"/>
          <w:highlight w:val="none"/>
          <w:lang w:val="en-US" w:eastAsia="zh-CN"/>
        </w:rPr>
        <w:t>5、</w:t>
      </w:r>
      <w:r>
        <w:rPr>
          <w:highlight w:val="none"/>
        </w:rPr>
        <w:t>数智赋能</w:t>
      </w:r>
      <w:r>
        <w:rPr>
          <w:rFonts w:hint="eastAsia"/>
          <w:highlight w:val="none"/>
        </w:rPr>
        <w:t>，</w:t>
      </w:r>
      <w:r>
        <w:rPr>
          <w:rFonts w:hint="eastAsia"/>
          <w:highlight w:val="none"/>
          <w:lang w:val="en-US" w:eastAsia="zh-CN"/>
        </w:rPr>
        <w:t>智慧发展原则</w:t>
      </w:r>
      <w:r>
        <w:rPr>
          <w:highlight w:val="none"/>
        </w:rPr>
        <w:t>。深化物流业数智化改革，推动物流技术、模式、功能、业态创新，打造物流发展新动能。加快智慧物流平台化发展，实现物流资源与要素的高效配置，引领物流行业转型升级。</w:t>
      </w:r>
    </w:p>
    <w:p w14:paraId="3FB87F30">
      <w:pPr>
        <w:pStyle w:val="3"/>
        <w:bidi w:val="0"/>
        <w:rPr>
          <w:rFonts w:hint="eastAsia"/>
          <w:highlight w:val="none"/>
          <w:lang w:eastAsia="zh-CN"/>
        </w:rPr>
      </w:pPr>
      <w:bookmarkStart w:id="45" w:name="_Toc32124"/>
      <w:bookmarkStart w:id="46" w:name="_Toc26325"/>
      <w:bookmarkStart w:id="47" w:name="_Toc11228"/>
      <w:r>
        <w:rPr>
          <w:rFonts w:hint="eastAsia"/>
          <w:highlight w:val="none"/>
          <w:lang w:val="en-US" w:eastAsia="zh-CN"/>
        </w:rPr>
        <w:t>发展定位</w:t>
      </w:r>
      <w:bookmarkEnd w:id="45"/>
      <w:bookmarkEnd w:id="46"/>
      <w:bookmarkEnd w:id="47"/>
    </w:p>
    <w:p w14:paraId="3645430E">
      <w:pPr>
        <w:bidi w:val="0"/>
        <w:rPr>
          <w:highlight w:val="none"/>
        </w:rPr>
      </w:pPr>
      <w:r>
        <w:rPr>
          <w:sz w:val="28"/>
        </w:rPr>
        <mc:AlternateContent>
          <mc:Choice Requires="wps">
            <w:drawing>
              <wp:anchor distT="0" distB="0" distL="114300" distR="114300" simplePos="0" relativeHeight="251660288" behindDoc="0" locked="0" layoutInCell="1" allowOverlap="1">
                <wp:simplePos x="0" y="0"/>
                <wp:positionH relativeFrom="column">
                  <wp:posOffset>10156825</wp:posOffset>
                </wp:positionH>
                <wp:positionV relativeFrom="paragraph">
                  <wp:posOffset>2444750</wp:posOffset>
                </wp:positionV>
                <wp:extent cx="952500" cy="1985010"/>
                <wp:effectExtent l="5715" t="2540" r="13335" b="12700"/>
                <wp:wrapNone/>
                <wp:docPr id="41" name="任意多边形 41"/>
                <wp:cNvGraphicFramePr/>
                <a:graphic xmlns:a="http://schemas.openxmlformats.org/drawingml/2006/main">
                  <a:graphicData uri="http://schemas.microsoft.com/office/word/2010/wordprocessingShape">
                    <wps:wsp>
                      <wps:cNvSpPr/>
                      <wps:spPr>
                        <a:xfrm>
                          <a:off x="11299825" y="4557395"/>
                          <a:ext cx="952500" cy="1985010"/>
                        </a:xfrm>
                        <a:custGeom>
                          <a:avLst/>
                          <a:gdLst>
                            <a:gd name="connisteX0" fmla="*/ 0 w 952500"/>
                            <a:gd name="connsiteY0" fmla="*/ 1985010 h 1985010"/>
                            <a:gd name="connisteX1" fmla="*/ 952500 w 952500"/>
                            <a:gd name="connsiteY1" fmla="*/ 0 h 1985010"/>
                          </a:gdLst>
                          <a:ahLst/>
                          <a:cxnLst>
                            <a:cxn ang="0">
                              <a:pos x="connisteX0" y="connsiteY0"/>
                            </a:cxn>
                            <a:cxn ang="0">
                              <a:pos x="connisteX1" y="connsiteY1"/>
                            </a:cxn>
                          </a:cxnLst>
                          <a:rect l="l" t="t" r="r" b="b"/>
                          <a:pathLst>
                            <a:path w="952500" h="1985010">
                              <a:moveTo>
                                <a:pt x="0" y="1985010"/>
                              </a:moveTo>
                              <a:lnTo>
                                <a:pt x="952500" y="0"/>
                              </a:lnTo>
                            </a:path>
                          </a:pathLst>
                        </a:custGeom>
                        <a:noFill/>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799.75pt;margin-top:192.5pt;height:156.3pt;width:75pt;z-index:251660288;mso-width-relative:page;mso-height-relative:page;" filled="f" stroked="t" coordsize="952500,1985010" o:gfxdata="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DYBMq41wAAAA0BAAAPAAAAAAAAAAEA&#10;IAAAACIAAABkcnMvZG93bnJldi54bWxQSwECFAAUAAAACACHTuJAzQhGibsCAAAEBgAADgAAAAAA&#10;AAABACAAAAAmAQAAZHJzL2Uyb0RvYy54bWxQSwUGAAAAAAYABgBZAQAAUwYAAAAA&#10;" path="m0,1985010l952500,0e">
                <v:path o:connectlocs="0,1985010;952500,0" o:connectangles="0,0"/>
                <v:fill on="f" focussize="0,0"/>
                <v:stroke weight="1pt" color="#2E54A1 [2404]" miterlimit="8" joinstyle="miter"/>
                <v:imagedata o:title=""/>
                <o:lock v:ext="edit" aspectratio="f"/>
              </v:shape>
            </w:pict>
          </mc:Fallback>
        </mc:AlternateContent>
      </w:r>
      <w:r>
        <w:rPr>
          <w:rFonts w:hint="eastAsia"/>
          <w:highlight w:val="none"/>
        </w:rPr>
        <w:t>我国已进入高质量发展阶段，</w:t>
      </w:r>
      <w:r>
        <w:rPr>
          <w:highlight w:val="none"/>
        </w:rPr>
        <w:t>制度优势充分彰显，治理效能提升，经济长期向好，物质基础雄厚，人力资源丰厚，市场空间广阔，发展韧性强大，社会大局稳定</w:t>
      </w:r>
      <w:r>
        <w:rPr>
          <w:rFonts w:hint="eastAsia"/>
          <w:highlight w:val="none"/>
        </w:rPr>
        <w:t>。与此同时，新一轮科技革命和产业变革，催生互联网、5G、物联网、人工智能等新技术、新业态加速融合发展。这些新形势都将对未来经济发展、物流发展产生重大影响，也会对包括</w:t>
      </w:r>
      <w:r>
        <w:rPr>
          <w:rFonts w:hint="eastAsia"/>
          <w:highlight w:val="none"/>
          <w:lang w:eastAsia="zh-CN"/>
        </w:rPr>
        <w:t>彰武</w:t>
      </w:r>
      <w:r>
        <w:rPr>
          <w:rFonts w:hint="eastAsia"/>
          <w:highlight w:val="none"/>
        </w:rPr>
        <w:t>在内的我国内陆城市发展，尤其是内陆城市现代物流业发展带来新机遇、新挑战和新要求。</w:t>
      </w:r>
    </w:p>
    <w:p w14:paraId="382C8F6D">
      <w:pPr>
        <w:bidi w:val="0"/>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辽西北通往京津冀地区通道上的商贸物流交易中心</w:t>
      </w:r>
    </w:p>
    <w:p w14:paraId="37D3E023">
      <w:pPr>
        <w:bidi w:val="0"/>
        <w:rPr>
          <w:rFonts w:hint="eastAsia"/>
          <w:highlight w:val="none"/>
          <w:lang w:eastAsia="zh-CN"/>
        </w:rPr>
      </w:pPr>
      <w:r>
        <w:rPr>
          <w:rFonts w:hint="eastAsia"/>
          <w:highlight w:val="none"/>
          <w:lang w:eastAsia="zh-CN"/>
        </w:rPr>
        <w:t>彰武县位于辽宁省西北部，地处沈阳、通辽</w:t>
      </w:r>
      <w:r>
        <w:rPr>
          <w:rFonts w:hint="eastAsia"/>
          <w:highlight w:val="none"/>
          <w:lang w:val="en-US" w:eastAsia="zh-CN"/>
        </w:rPr>
        <w:t>两</w:t>
      </w:r>
      <w:r>
        <w:rPr>
          <w:rFonts w:hint="eastAsia"/>
          <w:highlight w:val="none"/>
          <w:lang w:eastAsia="zh-CN"/>
        </w:rPr>
        <w:t>市的交汇处，</w:t>
      </w:r>
      <w:r>
        <w:rPr>
          <w:rFonts w:hint="eastAsia"/>
          <w:highlight w:val="none"/>
          <w:lang w:val="en-US" w:eastAsia="zh-CN"/>
        </w:rPr>
        <w:t>距离四平不足200千米，距离长春不足300千米</w:t>
      </w:r>
      <w:r>
        <w:rPr>
          <w:rFonts w:hint="eastAsia"/>
          <w:highlight w:val="none"/>
          <w:lang w:eastAsia="zh-CN"/>
        </w:rPr>
        <w:t>，具备高铁、高速公路和国道等多重交通网络，地理位置极为重要。作为沈阳经济区“一小时经济圈”的关键节点，彰武在东北三省及内蒙古地区具有重要的战略地位。</w:t>
      </w:r>
    </w:p>
    <w:p w14:paraId="38B6972D">
      <w:pPr>
        <w:bidi w:val="0"/>
        <w:rPr>
          <w:rFonts w:hint="eastAsia"/>
          <w:highlight w:val="none"/>
          <w:lang w:eastAsia="zh-CN"/>
        </w:rPr>
      </w:pPr>
      <w:r>
        <w:rPr>
          <w:rFonts w:hint="eastAsia"/>
          <w:highlight w:val="none"/>
          <w:lang w:eastAsia="zh-CN"/>
        </w:rPr>
        <w:t>在彰武通往京津冀地区的交通要道上，商贸物流交易中心的建设和发展具有战略意义。彰武作为连接蒙东地区与关内及出海口的重要通道，依托其便捷的交通网络，能够实现与京津冀地区的高效连接。该商贸物流交易中心将依托彰武的地理和资源优势，推动商贸物流产业集群的形成，促进区域经济的联动发展。</w:t>
      </w:r>
    </w:p>
    <w:p w14:paraId="4CFDBCF5">
      <w:pPr>
        <w:bidi w:val="0"/>
        <w:rPr>
          <w:rFonts w:hint="eastAsia"/>
          <w:highlight w:val="none"/>
          <w:lang w:eastAsia="zh-CN"/>
        </w:rPr>
      </w:pPr>
      <w:r>
        <w:rPr>
          <w:rFonts w:hint="eastAsia"/>
          <w:highlight w:val="none"/>
          <w:lang w:eastAsia="zh-CN"/>
        </w:rPr>
        <w:t>彰武县人民政府对商贸物流产业的发展给予高度重视，并通过一系列政策支持，为商贸物流交易中心的建设提供了坚实的基础。随着彰武通往京津冀地区的通道上商贸物流交易中心的建设和发展，将进一步加强彰武与京津冀地区的经贸往来，推动区域经济一体化进程。同时，该商贸物流交易中心也将成为彰武经济发展的新引擎，为当地经济增长注入新的动力。</w:t>
      </w:r>
    </w:p>
    <w:p w14:paraId="33EDE9D6">
      <w:pPr>
        <w:bidi w:val="0"/>
        <w:rPr>
          <w:rFonts w:hint="eastAsia" w:eastAsia="仿宋_GB2312"/>
          <w:highlight w:val="none"/>
          <w:lang w:eastAsia="zh-CN"/>
        </w:rPr>
      </w:pPr>
      <w:r>
        <w:rPr>
          <w:rFonts w:hint="eastAsia"/>
          <w:highlight w:val="none"/>
          <w:lang w:eastAsia="zh-CN"/>
        </w:rPr>
        <w:t>（</w:t>
      </w:r>
      <w:r>
        <w:rPr>
          <w:rFonts w:hint="eastAsia"/>
          <w:highlight w:val="none"/>
          <w:lang w:val="en-US" w:eastAsia="zh-CN"/>
        </w:rPr>
        <w:t>2</w:t>
      </w:r>
      <w:r>
        <w:rPr>
          <w:rFonts w:hint="eastAsia"/>
          <w:highlight w:val="none"/>
          <w:lang w:eastAsia="zh-CN"/>
        </w:rPr>
        <w:t>）覆盖东北辐射全国的硅砂贸易中心</w:t>
      </w:r>
    </w:p>
    <w:p w14:paraId="3E3C6358">
      <w:pPr>
        <w:bidi w:val="0"/>
        <w:rPr>
          <w:highlight w:val="none"/>
        </w:rPr>
      </w:pPr>
      <w:r>
        <w:rPr>
          <w:rFonts w:hint="eastAsia"/>
          <w:highlight w:val="none"/>
        </w:rPr>
        <w:t>产业链物流融合创新示范区。以新型工业化强</w:t>
      </w:r>
      <w:r>
        <w:rPr>
          <w:rFonts w:hint="eastAsia"/>
          <w:highlight w:val="none"/>
          <w:lang w:val="en-US" w:eastAsia="zh-CN"/>
        </w:rPr>
        <w:t>县</w:t>
      </w:r>
      <w:r>
        <w:rPr>
          <w:rFonts w:hint="eastAsia"/>
          <w:highlight w:val="none"/>
        </w:rPr>
        <w:t>建设为契机，推动物流业与</w:t>
      </w:r>
      <w:r>
        <w:rPr>
          <w:rFonts w:hint="eastAsia"/>
          <w:highlight w:val="none"/>
          <w:lang w:eastAsia="zh-CN"/>
        </w:rPr>
        <w:t>彰武县</w:t>
      </w:r>
      <w:r>
        <w:rPr>
          <w:rFonts w:hint="eastAsia"/>
          <w:highlight w:val="none"/>
        </w:rPr>
        <w:t>产业体系深度融合，全面优化</w:t>
      </w:r>
      <w:r>
        <w:rPr>
          <w:rFonts w:hint="eastAsia"/>
          <w:highlight w:val="none"/>
          <w:lang w:eastAsia="zh-CN"/>
        </w:rPr>
        <w:t>彰武县</w:t>
      </w:r>
      <w:r>
        <w:rPr>
          <w:rFonts w:hint="eastAsia"/>
          <w:highlight w:val="none"/>
        </w:rPr>
        <w:t>重点产业链供应链，配套发展智慧物流等业态模式，基于全</w:t>
      </w:r>
      <w:r>
        <w:rPr>
          <w:rFonts w:hint="eastAsia"/>
          <w:highlight w:val="none"/>
          <w:lang w:val="en-US" w:eastAsia="zh-CN"/>
        </w:rPr>
        <w:t>县</w:t>
      </w:r>
      <w:r>
        <w:rPr>
          <w:rFonts w:hint="eastAsia"/>
          <w:highlight w:val="none"/>
        </w:rPr>
        <w:t>工业企业核心诉求，加快提高物流数智化水平，推动“储</w:t>
      </w:r>
      <w:r>
        <w:rPr>
          <w:highlight w:val="none"/>
        </w:rPr>
        <w:t>-</w:t>
      </w:r>
      <w:r>
        <w:rPr>
          <w:rFonts w:hint="eastAsia"/>
          <w:highlight w:val="none"/>
        </w:rPr>
        <w:t>配</w:t>
      </w:r>
      <w:r>
        <w:rPr>
          <w:highlight w:val="none"/>
        </w:rPr>
        <w:t>-</w:t>
      </w:r>
      <w:r>
        <w:rPr>
          <w:rFonts w:hint="eastAsia"/>
          <w:highlight w:val="none"/>
        </w:rPr>
        <w:t>运”各环节装备升级与信息流通，搭建物流数智化赋能平台，打造服务于</w:t>
      </w:r>
      <w:r>
        <w:rPr>
          <w:rFonts w:hint="eastAsia"/>
          <w:highlight w:val="none"/>
          <w:lang w:val="en-US" w:eastAsia="zh-CN"/>
        </w:rPr>
        <w:t>硅砂、装备制造</w:t>
      </w:r>
      <w:r>
        <w:rPr>
          <w:rFonts w:hint="eastAsia"/>
          <w:highlight w:val="none"/>
        </w:rPr>
        <w:t>等产业集群的生产服务型物流基地。</w:t>
      </w:r>
    </w:p>
    <w:p w14:paraId="4EBE42F6">
      <w:pPr>
        <w:bidi w:val="0"/>
        <w:rPr>
          <w:rFonts w:hint="eastAsia"/>
          <w:highlight w:val="none"/>
        </w:rPr>
      </w:pPr>
      <w:r>
        <w:rPr>
          <w:rFonts w:hint="eastAsia"/>
          <w:highlight w:val="none"/>
          <w:lang w:eastAsia="zh-CN"/>
        </w:rPr>
        <w:t>（</w:t>
      </w:r>
      <w:r>
        <w:rPr>
          <w:rFonts w:hint="eastAsia"/>
          <w:highlight w:val="none"/>
          <w:lang w:val="en-US" w:eastAsia="zh-CN"/>
        </w:rPr>
        <w:t>3</w:t>
      </w:r>
      <w:r>
        <w:rPr>
          <w:rFonts w:hint="eastAsia"/>
          <w:highlight w:val="none"/>
          <w:lang w:eastAsia="zh-CN"/>
        </w:rPr>
        <w:t>）</w:t>
      </w:r>
      <w:r>
        <w:rPr>
          <w:rFonts w:hint="eastAsia"/>
          <w:highlight w:val="none"/>
          <w:lang w:val="en-US" w:eastAsia="zh-CN"/>
        </w:rPr>
        <w:t>打造</w:t>
      </w:r>
      <w:r>
        <w:rPr>
          <w:rFonts w:hint="eastAsia"/>
          <w:highlight w:val="none"/>
        </w:rPr>
        <w:t>蒙东通往沈阳都市圈通道上的综合服务型区域物流基地</w:t>
      </w:r>
    </w:p>
    <w:p w14:paraId="2C6549EC">
      <w:pPr>
        <w:bidi w:val="0"/>
        <w:rPr>
          <w:highlight w:val="none"/>
        </w:rPr>
      </w:pPr>
      <w:r>
        <w:rPr>
          <w:rFonts w:hint="eastAsia"/>
          <w:highlight w:val="none"/>
        </w:rPr>
        <w:t>“</w:t>
      </w:r>
      <w:r>
        <w:rPr>
          <w:rFonts w:hint="eastAsia"/>
          <w:highlight w:val="none"/>
          <w:lang w:val="en-US" w:eastAsia="zh-CN"/>
        </w:rPr>
        <w:t>沈阳－通辽</w:t>
      </w:r>
      <w:r>
        <w:rPr>
          <w:rFonts w:hint="eastAsia"/>
          <w:highlight w:val="none"/>
        </w:rPr>
        <w:t>”物流通道战略节点。全面深化</w:t>
      </w:r>
      <w:r>
        <w:rPr>
          <w:rFonts w:hint="eastAsia"/>
          <w:highlight w:val="none"/>
          <w:lang w:val="en-US" w:eastAsia="zh-CN"/>
        </w:rPr>
        <w:t>阜新市</w:t>
      </w:r>
      <w:r>
        <w:rPr>
          <w:rFonts w:hint="eastAsia"/>
          <w:highlight w:val="none"/>
        </w:rPr>
        <w:t>对于</w:t>
      </w:r>
      <w:r>
        <w:rPr>
          <w:rFonts w:hint="eastAsia"/>
          <w:highlight w:val="none"/>
          <w:lang w:eastAsia="zh-CN"/>
        </w:rPr>
        <w:t>彰武县</w:t>
      </w:r>
      <w:r>
        <w:rPr>
          <w:rFonts w:hint="eastAsia"/>
          <w:highlight w:val="none"/>
        </w:rPr>
        <w:t>“沈阳现代化都市圈重要物流节点”战略定位，强化与</w:t>
      </w:r>
      <w:r>
        <w:rPr>
          <w:rFonts w:hint="eastAsia"/>
          <w:highlight w:val="none"/>
          <w:lang w:val="en-US" w:eastAsia="zh-CN"/>
        </w:rPr>
        <w:t>沈阳</w:t>
      </w:r>
      <w:r>
        <w:rPr>
          <w:rFonts w:hint="eastAsia"/>
          <w:highlight w:val="none"/>
        </w:rPr>
        <w:t>、</w:t>
      </w:r>
      <w:r>
        <w:rPr>
          <w:rFonts w:hint="eastAsia"/>
          <w:highlight w:val="none"/>
          <w:lang w:val="en-US" w:eastAsia="zh-CN"/>
        </w:rPr>
        <w:t>通辽</w:t>
      </w:r>
      <w:r>
        <w:rPr>
          <w:rFonts w:hint="eastAsia"/>
          <w:highlight w:val="none"/>
        </w:rPr>
        <w:t>等周边城市的物流协同，加快中转仓、快速路、二级分拣中心等基础设施的共建共享，强化物流线上、线下网络的对接，鼓励本地企业走出去、外部企业引进来，共建具有竞争力的“</w:t>
      </w:r>
      <w:r>
        <w:rPr>
          <w:rFonts w:hint="eastAsia"/>
          <w:highlight w:val="none"/>
          <w:lang w:val="en-US" w:eastAsia="zh-CN"/>
        </w:rPr>
        <w:t>沈阳</w:t>
      </w:r>
      <w:r>
        <w:rPr>
          <w:highlight w:val="none"/>
        </w:rPr>
        <w:t>-</w:t>
      </w:r>
      <w:r>
        <w:rPr>
          <w:rFonts w:hint="eastAsia"/>
          <w:highlight w:val="none"/>
          <w:lang w:val="en-US" w:eastAsia="zh-CN"/>
        </w:rPr>
        <w:t>彰武</w:t>
      </w:r>
      <w:r>
        <w:rPr>
          <w:highlight w:val="none"/>
        </w:rPr>
        <w:t>-</w:t>
      </w:r>
      <w:r>
        <w:rPr>
          <w:rFonts w:hint="eastAsia"/>
          <w:highlight w:val="none"/>
          <w:lang w:val="en-US" w:eastAsia="zh-CN"/>
        </w:rPr>
        <w:t>通辽</w:t>
      </w:r>
      <w:r>
        <w:rPr>
          <w:rFonts w:hint="eastAsia"/>
          <w:highlight w:val="none"/>
        </w:rPr>
        <w:t>”核心物流圈，将</w:t>
      </w:r>
      <w:r>
        <w:rPr>
          <w:rFonts w:hint="eastAsia"/>
          <w:highlight w:val="none"/>
          <w:lang w:eastAsia="zh-CN"/>
        </w:rPr>
        <w:t>彰武县</w:t>
      </w:r>
      <w:r>
        <w:rPr>
          <w:rFonts w:hint="eastAsia"/>
          <w:highlight w:val="none"/>
        </w:rPr>
        <w:t>建设成联通省会、</w:t>
      </w:r>
      <w:r>
        <w:rPr>
          <w:rFonts w:hint="eastAsia"/>
          <w:highlight w:val="none"/>
          <w:lang w:val="en-US" w:eastAsia="zh-CN"/>
        </w:rPr>
        <w:t>通辽</w:t>
      </w:r>
      <w:r>
        <w:rPr>
          <w:rFonts w:hint="eastAsia"/>
          <w:highlight w:val="none"/>
        </w:rPr>
        <w:t>两大“物流核”的</w:t>
      </w:r>
      <w:r>
        <w:rPr>
          <w:rFonts w:hint="eastAsia"/>
          <w:highlight w:val="none"/>
          <w:lang w:val="en-US" w:eastAsia="zh-CN"/>
        </w:rPr>
        <w:t>重要</w:t>
      </w:r>
      <w:r>
        <w:rPr>
          <w:rFonts w:hint="eastAsia"/>
          <w:highlight w:val="none"/>
        </w:rPr>
        <w:t>物流节点。</w:t>
      </w:r>
    </w:p>
    <w:p w14:paraId="5E2656D2">
      <w:pPr>
        <w:pStyle w:val="3"/>
        <w:bidi w:val="0"/>
        <w:rPr>
          <w:rFonts w:hint="default"/>
          <w:highlight w:val="none"/>
          <w:lang w:val="en-US" w:eastAsia="zh-CN"/>
        </w:rPr>
      </w:pPr>
      <w:bookmarkStart w:id="48" w:name="_Toc21983"/>
      <w:bookmarkStart w:id="49" w:name="_Toc30298"/>
      <w:bookmarkStart w:id="50" w:name="_Toc31320"/>
      <w:r>
        <w:rPr>
          <w:rFonts w:hint="eastAsia"/>
          <w:highlight w:val="none"/>
          <w:lang w:val="en-US" w:eastAsia="zh-CN"/>
        </w:rPr>
        <w:t>发展</w:t>
      </w:r>
      <w:bookmarkEnd w:id="48"/>
      <w:bookmarkEnd w:id="49"/>
      <w:r>
        <w:rPr>
          <w:rFonts w:hint="eastAsia"/>
          <w:highlight w:val="none"/>
          <w:lang w:val="en-US" w:eastAsia="zh-CN"/>
        </w:rPr>
        <w:t>路径</w:t>
      </w:r>
      <w:bookmarkEnd w:id="50"/>
    </w:p>
    <w:p w14:paraId="0F7D4A16">
      <w:pPr>
        <w:pStyle w:val="4"/>
        <w:bidi w:val="0"/>
        <w:rPr>
          <w:highlight w:val="none"/>
        </w:rPr>
      </w:pPr>
      <w:bookmarkStart w:id="51" w:name="_Toc4126"/>
      <w:r>
        <w:rPr>
          <w:rFonts w:hint="eastAsia"/>
          <w:highlight w:val="none"/>
        </w:rPr>
        <w:t>支撑国家重大战略，要求加快提升</w:t>
      </w:r>
      <w:r>
        <w:rPr>
          <w:rFonts w:hint="eastAsia"/>
          <w:highlight w:val="none"/>
          <w:lang w:eastAsia="zh-CN"/>
        </w:rPr>
        <w:t>彰武</w:t>
      </w:r>
      <w:r>
        <w:rPr>
          <w:rFonts w:hint="eastAsia"/>
          <w:highlight w:val="none"/>
        </w:rPr>
        <w:t>现代物流业国际化服务能级</w:t>
      </w:r>
      <w:bookmarkEnd w:id="51"/>
    </w:p>
    <w:p w14:paraId="02A3B9DB">
      <w:pPr>
        <w:bidi w:val="0"/>
        <w:rPr>
          <w:rFonts w:hint="default"/>
          <w:lang w:val="en-US" w:eastAsia="zh-CN"/>
        </w:rPr>
      </w:pPr>
      <w:r>
        <w:rPr>
          <w:rFonts w:hint="eastAsia"/>
          <w:lang w:val="en-US" w:eastAsia="zh-CN"/>
        </w:rPr>
        <w:t>彰武</w:t>
      </w:r>
      <w:r>
        <w:rPr>
          <w:rFonts w:hint="eastAsia"/>
        </w:rPr>
        <w:t>区位优势较好，</w:t>
      </w:r>
      <w:r>
        <w:t>随着</w:t>
      </w:r>
      <w:r>
        <w:rPr>
          <w:rFonts w:hint="eastAsia"/>
        </w:rPr>
        <w:t>“</w:t>
      </w:r>
      <w:r>
        <w:t>一带一路</w:t>
      </w:r>
      <w:r>
        <w:rPr>
          <w:rFonts w:hint="eastAsia"/>
        </w:rPr>
        <w:t>”</w:t>
      </w:r>
      <w:r>
        <w:rPr>
          <w:rFonts w:hint="eastAsia"/>
          <w:lang w:eastAsia="zh-CN"/>
        </w:rPr>
        <w:t>倡议</w:t>
      </w:r>
      <w:r>
        <w:rPr>
          <w:rFonts w:hint="eastAsia"/>
        </w:rPr>
        <w:t>、</w:t>
      </w:r>
      <w:r>
        <w:rPr>
          <w:rFonts w:hint="eastAsia"/>
          <w:lang w:val="en-US" w:eastAsia="zh-CN"/>
        </w:rPr>
        <w:t>沈阳都市圈</w:t>
      </w:r>
      <w:r>
        <w:rPr>
          <w:rFonts w:hint="eastAsia"/>
        </w:rPr>
        <w:t>战略的深入</w:t>
      </w:r>
      <w:r>
        <w:t>实施，</w:t>
      </w:r>
      <w:r>
        <w:rPr>
          <w:rFonts w:hint="eastAsia"/>
          <w:lang w:eastAsia="zh-CN"/>
        </w:rPr>
        <w:t>彰武县</w:t>
      </w:r>
      <w:r>
        <w:t>迎来了新的发展机遇期。作为</w:t>
      </w:r>
      <w:r>
        <w:rPr>
          <w:rFonts w:hint="eastAsia"/>
          <w:lang w:val="en-US" w:eastAsia="zh-CN"/>
        </w:rPr>
        <w:t>沈阳都市圈</w:t>
      </w:r>
      <w:r>
        <w:t>中</w:t>
      </w:r>
      <w:r>
        <w:rPr>
          <w:rFonts w:hint="eastAsia"/>
        </w:rPr>
        <w:t>的核心</w:t>
      </w:r>
      <w:r>
        <w:t>节点城市，</w:t>
      </w:r>
      <w:r>
        <w:rPr>
          <w:rFonts w:hint="eastAsia"/>
          <w:lang w:val="en-US" w:eastAsia="zh-CN"/>
        </w:rPr>
        <w:t>彰武</w:t>
      </w:r>
      <w:r>
        <w:t>有能力在更大范围寻求配置资源，深化与</w:t>
      </w:r>
      <w:r>
        <w:rPr>
          <w:rFonts w:hint="eastAsia"/>
          <w:lang w:val="en-US" w:eastAsia="zh-CN"/>
        </w:rPr>
        <w:t>周边</w:t>
      </w:r>
      <w:r>
        <w:t>城市在重点领域的合作，面对这一重大历史机遇，</w:t>
      </w:r>
      <w:r>
        <w:rPr>
          <w:rFonts w:hint="eastAsia"/>
          <w:lang w:eastAsia="zh-CN"/>
        </w:rPr>
        <w:t>彰武</w:t>
      </w:r>
      <w:r>
        <w:t>应结合自身实际，</w:t>
      </w:r>
      <w:r>
        <w:rPr>
          <w:rFonts w:hint="eastAsia"/>
        </w:rPr>
        <w:t>加强与“交通强国、降本增效</w:t>
      </w:r>
      <w:r>
        <w:t>、运输结构调整、</w:t>
      </w:r>
      <w:r>
        <w:rPr>
          <w:rFonts w:hint="eastAsia"/>
        </w:rPr>
        <w:t>多式联运、</w:t>
      </w:r>
      <w:r>
        <w:t>物流高质量发展</w:t>
      </w:r>
      <w:r>
        <w:rPr>
          <w:rFonts w:hint="eastAsia"/>
        </w:rPr>
        <w:t>”等国家政策衔接，</w:t>
      </w:r>
      <w:r>
        <w:t>重点抓住</w:t>
      </w:r>
      <w:r>
        <w:rPr>
          <w:rFonts w:hint="eastAsia"/>
        </w:rPr>
        <w:t>“</w:t>
      </w:r>
      <w:r>
        <w:rPr>
          <w:rFonts w:hint="eastAsia"/>
          <w:lang w:val="en-US" w:eastAsia="zh-CN"/>
        </w:rPr>
        <w:t>公路</w:t>
      </w:r>
      <w:r>
        <w:t>、</w:t>
      </w:r>
      <w:r>
        <w:rPr>
          <w:rFonts w:hint="eastAsia"/>
          <w:lang w:val="en-US" w:eastAsia="zh-CN"/>
        </w:rPr>
        <w:t>铁路</w:t>
      </w:r>
      <w:r>
        <w:t>、电商</w:t>
      </w:r>
      <w:r>
        <w:rPr>
          <w:rFonts w:hint="eastAsia"/>
        </w:rPr>
        <w:t>”</w:t>
      </w:r>
      <w:r>
        <w:t>三大优势，加快构建</w:t>
      </w:r>
      <w:r>
        <w:rPr>
          <w:rFonts w:hint="eastAsia"/>
          <w:lang w:val="en-US" w:eastAsia="zh-CN"/>
        </w:rPr>
        <w:t>连接京津冀、沈阳、蒙东的物流发展格局。</w:t>
      </w:r>
    </w:p>
    <w:p w14:paraId="6760DEF6">
      <w:pPr>
        <w:pStyle w:val="4"/>
        <w:bidi w:val="0"/>
        <w:rPr>
          <w:highlight w:val="none"/>
        </w:rPr>
      </w:pPr>
      <w:bookmarkStart w:id="52" w:name="_Toc11838"/>
      <w:r>
        <w:rPr>
          <w:rFonts w:hint="eastAsia"/>
          <w:highlight w:val="none"/>
        </w:rPr>
        <w:t>顺应产业协同与“互联网+”新趋势，要求加快推进物流服务模式变革</w:t>
      </w:r>
      <w:bookmarkEnd w:id="52"/>
    </w:p>
    <w:p w14:paraId="787612CA">
      <w:pPr>
        <w:bidi w:val="0"/>
      </w:pPr>
      <w:r>
        <w:rPr>
          <w:rFonts w:hint="eastAsia"/>
        </w:rPr>
        <w:t>近年来，</w:t>
      </w:r>
      <w:r>
        <w:rPr>
          <w:rFonts w:hint="eastAsia"/>
          <w:lang w:val="en-US" w:eastAsia="zh-CN"/>
        </w:rPr>
        <w:t>彰武</w:t>
      </w:r>
      <w:r>
        <w:rPr>
          <w:rFonts w:hint="eastAsia"/>
        </w:rPr>
        <w:t>着力</w:t>
      </w:r>
      <w:r>
        <w:rPr>
          <w:rFonts w:hint="eastAsia"/>
          <w:lang w:val="en-US" w:eastAsia="zh-CN"/>
        </w:rPr>
        <w:t>融入</w:t>
      </w:r>
      <w:r>
        <w:rPr>
          <w:rFonts w:hint="eastAsia"/>
        </w:rPr>
        <w:t>产业协调发展，联手打造优势产业集群，如汽车及交通运输设备制造业等，形成良好发展态势。随着产业融合发展和生产要素跨区域流动，物流业与制造业、商贸流通业等关联产业联系更加紧密，物流服务跨行业、融合发展态势将更趋明显，面向多元化的现代产业，发挥各种运输方式集成优势，更要为集商流、物流、信息流、资金流“四流”合一的产业集群发展服好务，促进关联产业融合联动发展，形成全要素集聚整合的强大推力，并孕育出新的经济增长点。当前，5G、大数据、云计算等技术在物流领域广泛推广应用，为物流业加快模式变革和服务创新带来强大驱动力。新一代信息技术与现代制造业、生产性服务业等融合发展，将进一步创新服务链、打通信息链、改造实物链，助推物流业步入新的发展时代。为此，</w:t>
      </w:r>
      <w:r>
        <w:rPr>
          <w:rFonts w:hint="eastAsia"/>
          <w:lang w:eastAsia="zh-CN"/>
        </w:rPr>
        <w:t>彰武</w:t>
      </w:r>
      <w:r>
        <w:rPr>
          <w:rFonts w:hint="eastAsia"/>
        </w:rPr>
        <w:t>要借力“互联网+”推动变革与创新，推动移动互联网、大数据、云计算、物联网等技术在物流服务领域广泛应用，加快传统物流服务模式改造升级，引导各种新兴业态规范有序发展，提升物流智能化、智慧化服务水平和能力。</w:t>
      </w:r>
    </w:p>
    <w:p w14:paraId="0C7F5AF9">
      <w:pPr>
        <w:pStyle w:val="4"/>
        <w:bidi w:val="0"/>
        <w:rPr>
          <w:highlight w:val="none"/>
        </w:rPr>
      </w:pPr>
      <w:bookmarkStart w:id="53" w:name="_Toc1145"/>
      <w:r>
        <w:rPr>
          <w:rFonts w:hint="eastAsia"/>
          <w:highlight w:val="none"/>
        </w:rPr>
        <w:t>实现生态城市建设目标，要求提升绿色物流发展质量</w:t>
      </w:r>
      <w:bookmarkEnd w:id="53"/>
    </w:p>
    <w:p w14:paraId="61838FAD">
      <w:pPr>
        <w:bidi w:val="0"/>
      </w:pPr>
      <w:r>
        <w:t>我国资源环境承载能力的刚性约束趋紧</w:t>
      </w:r>
      <w:r>
        <w:rPr>
          <w:rFonts w:hint="eastAsia"/>
        </w:rPr>
        <w:t>，</w:t>
      </w:r>
      <w:r>
        <w:t>生态环境恶化趋势尚未得到根本扭转</w:t>
      </w:r>
      <w:r>
        <w:rPr>
          <w:rFonts w:hint="eastAsia"/>
        </w:rPr>
        <w:t>。</w:t>
      </w:r>
      <w:r>
        <w:t>随着物流业持续高速发展</w:t>
      </w:r>
      <w:r>
        <w:rPr>
          <w:rFonts w:hint="eastAsia"/>
        </w:rPr>
        <w:t>，</w:t>
      </w:r>
      <w:r>
        <w:t>传统发展模式受成本</w:t>
      </w:r>
      <w:r>
        <w:rPr>
          <w:rFonts w:hint="eastAsia"/>
        </w:rPr>
        <w:t>、</w:t>
      </w:r>
      <w:r>
        <w:t>资源和环境的制约越来越严峻</w:t>
      </w:r>
      <w:r>
        <w:rPr>
          <w:rFonts w:hint="eastAsia"/>
        </w:rPr>
        <w:t>。</w:t>
      </w:r>
      <w:r>
        <w:t>劳动力等成本要素不断上升</w:t>
      </w:r>
      <w:r>
        <w:rPr>
          <w:rFonts w:hint="eastAsia"/>
        </w:rPr>
        <w:t>，</w:t>
      </w:r>
      <w:r>
        <w:t>对行业发展影响日益突出</w:t>
      </w:r>
      <w:r>
        <w:rPr>
          <w:rFonts w:hint="eastAsia"/>
        </w:rPr>
        <w:t>。</w:t>
      </w:r>
      <w:r>
        <w:t>车辆</w:t>
      </w:r>
      <w:r>
        <w:rPr>
          <w:rFonts w:hint="eastAsia"/>
        </w:rPr>
        <w:t>、</w:t>
      </w:r>
      <w:r>
        <w:t>包装材料等生产资料需求量大幅增加</w:t>
      </w:r>
      <w:r>
        <w:rPr>
          <w:rFonts w:hint="eastAsia"/>
        </w:rPr>
        <w:t>，</w:t>
      </w:r>
      <w:r>
        <w:t>资源消耗和环境影响将进一步加大</w:t>
      </w:r>
      <w:r>
        <w:rPr>
          <w:rFonts w:hint="eastAsia"/>
        </w:rPr>
        <w:t>。</w:t>
      </w:r>
      <w:r>
        <w:t>未来物流业将全面节约和高效利用资源</w:t>
      </w:r>
      <w:r>
        <w:rPr>
          <w:rFonts w:hint="eastAsia"/>
        </w:rPr>
        <w:t>，</w:t>
      </w:r>
      <w:r>
        <w:t>通过减少环境污染和资源消耗</w:t>
      </w:r>
      <w:r>
        <w:rPr>
          <w:rFonts w:hint="eastAsia"/>
        </w:rPr>
        <w:t>，</w:t>
      </w:r>
      <w:r>
        <w:t>降本增效</w:t>
      </w:r>
      <w:r>
        <w:rPr>
          <w:rFonts w:hint="eastAsia"/>
        </w:rPr>
        <w:t>。从</w:t>
      </w:r>
      <w:r>
        <w:rPr>
          <w:rFonts w:hint="eastAsia"/>
          <w:lang w:eastAsia="zh-CN"/>
        </w:rPr>
        <w:t>彰武县</w:t>
      </w:r>
      <w:r>
        <w:rPr>
          <w:rFonts w:hint="eastAsia"/>
        </w:rPr>
        <w:t>发展来看，</w:t>
      </w:r>
      <w:r>
        <w:rPr>
          <w:rFonts w:hint="eastAsia"/>
          <w:lang w:eastAsia="zh-CN"/>
        </w:rPr>
        <w:t>彰武县</w:t>
      </w:r>
      <w:r>
        <w:rPr>
          <w:rFonts w:hint="eastAsia"/>
        </w:rPr>
        <w:t>正加快推进“一都一城三基地”建设，致力于打造</w:t>
      </w:r>
      <w:r>
        <w:rPr>
          <w:rFonts w:hint="eastAsia"/>
          <w:lang w:val="en-US" w:eastAsia="zh-CN"/>
        </w:rPr>
        <w:t>中国砂都</w:t>
      </w:r>
      <w:r>
        <w:rPr>
          <w:rFonts w:hint="eastAsia"/>
        </w:rPr>
        <w:t>，承接京津冀产业转移的标杆区</w:t>
      </w:r>
      <w:r>
        <w:rPr>
          <w:rFonts w:hint="eastAsia"/>
          <w:lang w:eastAsia="zh-CN"/>
        </w:rPr>
        <w:t>、绿色食品基地</w:t>
      </w:r>
      <w:r>
        <w:rPr>
          <w:rFonts w:hint="eastAsia"/>
          <w:lang w:val="en-US" w:eastAsia="zh-CN"/>
        </w:rPr>
        <w:t>以及新能源产业基地</w:t>
      </w:r>
      <w:r>
        <w:rPr>
          <w:rFonts w:hint="eastAsia"/>
          <w:lang w:eastAsia="zh-CN"/>
        </w:rPr>
        <w:t>，</w:t>
      </w:r>
      <w:r>
        <w:rPr>
          <w:rFonts w:hint="eastAsia"/>
        </w:rPr>
        <w:t>实现生态城市建设目标，坚守生态红线，稳固生态资源基底，就要优化运输结构，</w:t>
      </w:r>
      <w:r>
        <w:t>发挥铁路的</w:t>
      </w:r>
      <w:r>
        <w:rPr>
          <w:rFonts w:hint="eastAsia"/>
        </w:rPr>
        <w:t>节能</w:t>
      </w:r>
      <w:r>
        <w:t>环保优势</w:t>
      </w:r>
      <w:r>
        <w:rPr>
          <w:rFonts w:hint="eastAsia"/>
        </w:rPr>
        <w:t>，提高物流组织效率，加强科技创新，促进运输装备和运输方式节能减排，加强土地、岸线等资源的集约节约利用，</w:t>
      </w:r>
      <w:r>
        <w:t>通过减少对传统能源依赖</w:t>
      </w:r>
      <w:r>
        <w:rPr>
          <w:rFonts w:hint="eastAsia"/>
        </w:rPr>
        <w:t>，</w:t>
      </w:r>
      <w:r>
        <w:t>优化要素投入结构</w:t>
      </w:r>
      <w:r>
        <w:rPr>
          <w:rFonts w:hint="eastAsia"/>
        </w:rPr>
        <w:t>，</w:t>
      </w:r>
      <w:r>
        <w:t>实现物流业</w:t>
      </w:r>
      <w:r>
        <w:rPr>
          <w:rFonts w:hint="eastAsia"/>
        </w:rPr>
        <w:t>“低污染、低消耗、低排放、高效能、高效益”的绿色发展。</w:t>
      </w:r>
    </w:p>
    <w:p w14:paraId="07BBEB8B">
      <w:pPr>
        <w:pStyle w:val="4"/>
        <w:bidi w:val="0"/>
        <w:rPr>
          <w:highlight w:val="none"/>
        </w:rPr>
      </w:pPr>
      <w:bookmarkStart w:id="54" w:name="_Toc27237"/>
      <w:r>
        <w:rPr>
          <w:rFonts w:hint="eastAsia"/>
          <w:highlight w:val="none"/>
        </w:rPr>
        <w:t>应对公共突发事件，要求提升城市应急物流保障能力</w:t>
      </w:r>
      <w:bookmarkEnd w:id="54"/>
    </w:p>
    <w:p w14:paraId="51244954">
      <w:pPr>
        <w:bidi w:val="0"/>
      </w:pPr>
      <w:r>
        <w:t>近年来</w:t>
      </w:r>
      <w:r>
        <w:rPr>
          <w:rFonts w:hint="eastAsia"/>
        </w:rPr>
        <w:t>，</w:t>
      </w:r>
      <w:r>
        <w:t>我国现代物流产业迅猛发展，交通运输和物流基础设施建设不断加强，物流信息化智能化标准化水平显著提升，物流企业服务网点全面覆盖，在城市中更是实践运用了无人车、无人机、无人仓等先进技术手段和次日达、当日达等创新服务模式，极大地提升了用户体验和满意度。尽管取得一定成绩</w:t>
      </w:r>
      <w:r>
        <w:rPr>
          <w:rFonts w:hint="eastAsia"/>
        </w:rPr>
        <w:t>，</w:t>
      </w:r>
      <w:r>
        <w:t>但在应对城市突发公共事件时仍显不足</w:t>
      </w:r>
      <w:r>
        <w:rPr>
          <w:rFonts w:hint="eastAsia"/>
        </w:rPr>
        <w:t>，暴露出城市应急</w:t>
      </w:r>
      <w:r>
        <w:t>物流保障能力不足</w:t>
      </w:r>
      <w:r>
        <w:rPr>
          <w:rFonts w:hint="eastAsia"/>
        </w:rPr>
        <w:t>、</w:t>
      </w:r>
      <w:r>
        <w:t>协调应对能力不够</w:t>
      </w:r>
      <w:r>
        <w:rPr>
          <w:rFonts w:hint="eastAsia"/>
        </w:rPr>
        <w:t>，</w:t>
      </w:r>
      <w:r>
        <w:t>难以为突发公共事件应对提供坚实可靠的</w:t>
      </w:r>
      <w:r>
        <w:rPr>
          <w:rFonts w:hint="eastAsia"/>
        </w:rPr>
        <w:t>物资</w:t>
      </w:r>
      <w:r>
        <w:t>保障。因此</w:t>
      </w:r>
      <w:r>
        <w:rPr>
          <w:rFonts w:hint="eastAsia"/>
        </w:rPr>
        <w:t>，加强应对公共突发事件，有效化解城市风险因素，需要从应急管理体系和能力建设层面科学谋划，组织实施应急物流管理工作。尤其是随着</w:t>
      </w:r>
      <w:r>
        <w:rPr>
          <w:rFonts w:hint="eastAsia"/>
          <w:lang w:val="en-US" w:eastAsia="zh-CN"/>
        </w:rPr>
        <w:t>沈阳桃仙机场物流业进一步发展</w:t>
      </w:r>
      <w:r>
        <w:rPr>
          <w:rFonts w:hint="eastAsia"/>
        </w:rPr>
        <w:t>，其安全、便捷、优质的服务将进一步补足</w:t>
      </w:r>
      <w:r>
        <w:rPr>
          <w:rFonts w:hint="eastAsia"/>
          <w:lang w:val="en-US" w:eastAsia="zh-CN"/>
        </w:rPr>
        <w:t>周边</w:t>
      </w:r>
      <w:r>
        <w:rPr>
          <w:rFonts w:hint="eastAsia"/>
        </w:rPr>
        <w:t>航空物流发展短板，未来需要充分发挥其在军民融合、应对公共突发事件、转运保障物资方面的积极作用，提升航空物流应急服务和后勤保障能力。</w:t>
      </w:r>
    </w:p>
    <w:p w14:paraId="3E50E101">
      <w:pPr>
        <w:pStyle w:val="4"/>
        <w:bidi w:val="0"/>
        <w:rPr>
          <w:highlight w:val="none"/>
        </w:rPr>
      </w:pPr>
      <w:bookmarkStart w:id="55" w:name="_Toc20347"/>
      <w:r>
        <w:rPr>
          <w:rFonts w:hint="eastAsia"/>
          <w:highlight w:val="none"/>
        </w:rPr>
        <w:t>增强行业发展新动能，要求加快推进</w:t>
      </w:r>
      <w:r>
        <w:rPr>
          <w:rFonts w:hint="eastAsia"/>
          <w:highlight w:val="none"/>
          <w:lang w:eastAsia="zh-CN"/>
        </w:rPr>
        <w:t>彰武</w:t>
      </w:r>
      <w:r>
        <w:rPr>
          <w:rFonts w:hint="eastAsia"/>
          <w:highlight w:val="none"/>
        </w:rPr>
        <w:t>物流服务治理能力现代化</w:t>
      </w:r>
      <w:bookmarkEnd w:id="55"/>
    </w:p>
    <w:p w14:paraId="4153780D">
      <w:pPr>
        <w:bidi w:val="0"/>
        <w:rPr>
          <w:rFonts w:hint="eastAsia"/>
        </w:rPr>
      </w:pPr>
      <w:r>
        <w:rPr>
          <w:rFonts w:hint="eastAsia"/>
        </w:rPr>
        <w:t>全面贯彻落实党的</w:t>
      </w:r>
      <w:r>
        <w:rPr>
          <w:rFonts w:hint="eastAsia"/>
          <w:lang w:val="en-US" w:eastAsia="zh-CN"/>
        </w:rPr>
        <w:t>二十</w:t>
      </w:r>
      <w:r>
        <w:rPr>
          <w:rFonts w:hint="eastAsia"/>
        </w:rPr>
        <w:t>大精神，坚持实施扩大内需战略，加快建设强大国内市场，是党中央统筹‘两个大局’作出的战略选择，也是构建新发展格局的重要任务。内需是我国经济增长的根本支撑，在百年变局世界进入新动荡期大背景下，建设强大国内市场，有利于把我国庞大的市场优势、内需潜力充分地释放出来，防范化解内外部风险挑战，牢牢把握发展的主动权。具体来讲，打通堵点，补齐短板，全面促进消费，建设现代流通体系。</w:t>
      </w:r>
    </w:p>
    <w:p w14:paraId="7FCA3383">
      <w:pPr>
        <w:bidi w:val="0"/>
      </w:pPr>
      <w:r>
        <w:rPr>
          <w:rFonts w:hint="eastAsia"/>
        </w:rPr>
        <w:t>由于物流行业涉及面广、职能管理部门多，存在多头管理和条块分割现象，因此，促进</w:t>
      </w:r>
      <w:r>
        <w:rPr>
          <w:rFonts w:hint="eastAsia"/>
          <w:lang w:eastAsia="zh-CN"/>
        </w:rPr>
        <w:t>彰武县</w:t>
      </w:r>
      <w:r>
        <w:rPr>
          <w:rFonts w:hint="eastAsia"/>
        </w:rPr>
        <w:t>现代物流业发展，必须着眼于建立行业管理协调机制，创新物流服务治理思维和方式方法，构建统一开放的物流市场，为各种运输方式衔接协调、竞合融合、市场主体一体化运作注入新动力。与此同时，以</w:t>
      </w:r>
      <w:r>
        <w:rPr>
          <w:rFonts w:hint="eastAsia"/>
          <w:lang w:val="en-US" w:eastAsia="zh-CN"/>
        </w:rPr>
        <w:t>沈阳</w:t>
      </w:r>
      <w:r>
        <w:rPr>
          <w:rFonts w:hint="eastAsia"/>
        </w:rPr>
        <w:t>建设</w:t>
      </w:r>
      <w:r>
        <w:rPr>
          <w:rFonts w:hint="eastAsia"/>
          <w:lang w:val="en-US" w:eastAsia="zh-CN"/>
        </w:rPr>
        <w:t>国际化中心城市</w:t>
      </w:r>
      <w:r>
        <w:rPr>
          <w:rFonts w:hint="eastAsia"/>
        </w:rPr>
        <w:t>为契机，加强与</w:t>
      </w:r>
      <w:r>
        <w:rPr>
          <w:rFonts w:hint="eastAsia"/>
          <w:lang w:val="en-US" w:eastAsia="zh-CN"/>
        </w:rPr>
        <w:t>沈阳都市</w:t>
      </w:r>
      <w:r>
        <w:rPr>
          <w:rFonts w:hint="eastAsia"/>
        </w:rPr>
        <w:t>圈沟通协调，建立跨区域、跨方式的规划、建设、运营管理新机制，打通互联通道，推动城市之间多元化平台合作机制创新，实现产业分工协作，共享空港效益，为打造内陆地区全方位、多层次物流服务一体化发展提供示范和样板。</w:t>
      </w:r>
    </w:p>
    <w:p w14:paraId="364956B2">
      <w:pPr>
        <w:pStyle w:val="3"/>
        <w:bidi w:val="0"/>
        <w:rPr>
          <w:rFonts w:hint="default"/>
          <w:highlight w:val="none"/>
          <w:lang w:val="en-US" w:eastAsia="zh-CN"/>
        </w:rPr>
      </w:pPr>
      <w:bookmarkStart w:id="56" w:name="_Toc31556"/>
      <w:bookmarkStart w:id="57" w:name="_Toc11197"/>
      <w:bookmarkStart w:id="58" w:name="_Toc10648"/>
      <w:r>
        <w:rPr>
          <w:rFonts w:hint="eastAsia"/>
          <w:highlight w:val="none"/>
        </w:rPr>
        <w:t>需求分析</w:t>
      </w:r>
      <w:bookmarkEnd w:id="56"/>
      <w:bookmarkEnd w:id="57"/>
      <w:bookmarkEnd w:id="58"/>
    </w:p>
    <w:p w14:paraId="735F23F5">
      <w:pPr>
        <w:bidi w:val="0"/>
        <w:rPr>
          <w:rFonts w:hint="eastAsia"/>
          <w:lang w:eastAsia="zh-CN"/>
        </w:rPr>
      </w:pPr>
      <w:r>
        <w:rPr>
          <w:rFonts w:hint="eastAsia"/>
          <w:lang w:eastAsia="zh-CN"/>
        </w:rPr>
        <w:t>彰武</w:t>
      </w:r>
      <w:r>
        <w:rPr>
          <w:rFonts w:hint="eastAsia"/>
        </w:rPr>
        <w:t>正处于</w:t>
      </w:r>
      <w:r>
        <w:rPr>
          <w:rFonts w:hint="eastAsia"/>
          <w:lang w:val="en-US" w:eastAsia="zh-CN"/>
        </w:rPr>
        <w:t>京津冀产业转移、沈阳都市圈</w:t>
      </w:r>
      <w:r>
        <w:rPr>
          <w:rFonts w:hint="eastAsia"/>
        </w:rPr>
        <w:t>发展的战略机遇期、临空经济发展的重要窗口期，在“一带一路</w:t>
      </w:r>
      <w:r>
        <w:rPr>
          <w:rFonts w:hint="default"/>
          <w:lang w:val="en-US" w:eastAsia="zh-CN"/>
        </w:rPr>
        <w:t>”</w:t>
      </w:r>
      <w:r>
        <w:rPr>
          <w:rFonts w:hint="eastAsia"/>
          <w:lang w:val="en-US" w:eastAsia="zh-CN"/>
        </w:rPr>
        <w:t>倡议</w:t>
      </w:r>
      <w:r>
        <w:rPr>
          <w:rFonts w:hint="eastAsia"/>
        </w:rPr>
        <w:t>叠加效应下，</w:t>
      </w:r>
      <w:r>
        <w:rPr>
          <w:rFonts w:hint="eastAsia"/>
          <w:lang w:eastAsia="zh-CN"/>
        </w:rPr>
        <w:t>彰武</w:t>
      </w:r>
      <w:r>
        <w:rPr>
          <w:rFonts w:hint="eastAsia"/>
        </w:rPr>
        <w:t>经济将持续保持较快增长态势</w:t>
      </w:r>
      <w:r>
        <w:rPr>
          <w:rFonts w:hint="eastAsia"/>
          <w:lang w:eastAsia="zh-CN"/>
        </w:rPr>
        <w:t>，</w:t>
      </w:r>
      <w:r>
        <w:rPr>
          <w:rFonts w:hint="eastAsia"/>
        </w:rPr>
        <w:t>依据调研，现状101国道交通量约为5000~7000</w:t>
      </w:r>
      <w:r>
        <w:rPr>
          <w:rFonts w:hint="eastAsia"/>
          <w:lang w:eastAsia="zh-CN"/>
        </w:rPr>
        <w:t>（</w:t>
      </w:r>
      <w:r>
        <w:rPr>
          <w:rFonts w:hint="eastAsia"/>
          <w:lang w:val="en-US" w:eastAsia="zh-CN"/>
        </w:rPr>
        <w:t>辆次</w:t>
      </w:r>
      <w:r>
        <w:rPr>
          <w:rFonts w:hint="eastAsia"/>
        </w:rPr>
        <w:t>/</w:t>
      </w:r>
      <w:r>
        <w:rPr>
          <w:rFonts w:hint="eastAsia"/>
          <w:lang w:val="en-US" w:eastAsia="zh-CN"/>
        </w:rPr>
        <w:t>日）</w:t>
      </w:r>
      <w:r>
        <w:rPr>
          <w:rFonts w:hint="eastAsia"/>
        </w:rPr>
        <w:t>，304国道交通量为8000</w:t>
      </w:r>
      <w:r>
        <w:rPr>
          <w:rFonts w:hint="eastAsia"/>
          <w:lang w:eastAsia="zh-CN"/>
        </w:rPr>
        <w:t>（</w:t>
      </w:r>
      <w:r>
        <w:rPr>
          <w:rFonts w:hint="eastAsia"/>
          <w:lang w:val="en-US" w:eastAsia="zh-CN"/>
        </w:rPr>
        <w:t>辆次</w:t>
      </w:r>
      <w:r>
        <w:rPr>
          <w:rFonts w:hint="eastAsia"/>
        </w:rPr>
        <w:t>/</w:t>
      </w:r>
      <w:r>
        <w:rPr>
          <w:rFonts w:hint="eastAsia"/>
          <w:lang w:val="en-US" w:eastAsia="zh-CN"/>
        </w:rPr>
        <w:t>日）</w:t>
      </w:r>
      <w:r>
        <w:rPr>
          <w:rFonts w:hint="eastAsia"/>
          <w:lang w:eastAsia="zh-CN"/>
        </w:rPr>
        <w:t>，</w:t>
      </w:r>
      <w:r>
        <w:rPr>
          <w:rFonts w:hint="eastAsia"/>
          <w:lang w:val="en-US" w:eastAsia="zh-CN"/>
        </w:rPr>
        <w:t>周边地区货运需求如下，</w:t>
      </w:r>
      <w:r>
        <w:rPr>
          <w:rFonts w:hint="eastAsia"/>
        </w:rPr>
        <w:t>年运输量：通辽——9800万吨/年</w:t>
      </w:r>
      <w:r>
        <w:rPr>
          <w:rFonts w:hint="eastAsia"/>
          <w:lang w:eastAsia="zh-CN"/>
        </w:rPr>
        <w:t>；</w:t>
      </w:r>
      <w:r>
        <w:rPr>
          <w:rFonts w:hint="eastAsia"/>
        </w:rPr>
        <w:t>沈阳、长春——2亿吨/年</w:t>
      </w:r>
      <w:r>
        <w:rPr>
          <w:rFonts w:hint="eastAsia"/>
          <w:lang w:eastAsia="zh-CN"/>
        </w:rPr>
        <w:t>；</w:t>
      </w:r>
      <w:r>
        <w:rPr>
          <w:rFonts w:hint="eastAsia"/>
        </w:rPr>
        <w:t>北京——5亿吨/年</w:t>
      </w:r>
      <w:r>
        <w:rPr>
          <w:rFonts w:hint="eastAsia"/>
          <w:lang w:eastAsia="zh-CN"/>
        </w:rPr>
        <w:t>；</w:t>
      </w:r>
      <w:r>
        <w:rPr>
          <w:rFonts w:hint="eastAsia"/>
        </w:rPr>
        <w:t>阜新、朝阳——5000万吨/年</w:t>
      </w:r>
      <w:r>
        <w:rPr>
          <w:rFonts w:hint="eastAsia"/>
          <w:lang w:eastAsia="zh-CN"/>
        </w:rPr>
        <w:t>。</w:t>
      </w:r>
    </w:p>
    <w:p w14:paraId="1E62F161">
      <w:pPr>
        <w:pStyle w:val="24"/>
        <w:bidi w:val="0"/>
      </w:pPr>
      <w:r>
        <w:drawing>
          <wp:inline distT="0" distB="0" distL="114300" distR="114300">
            <wp:extent cx="5269865" cy="3987165"/>
            <wp:effectExtent l="0" t="0" r="6985" b="1333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2"/>
                    <a:stretch>
                      <a:fillRect/>
                    </a:stretch>
                  </pic:blipFill>
                  <pic:spPr>
                    <a:xfrm>
                      <a:off x="0" y="0"/>
                      <a:ext cx="5269865" cy="3987165"/>
                    </a:xfrm>
                    <a:prstGeom prst="rect">
                      <a:avLst/>
                    </a:prstGeom>
                    <a:noFill/>
                    <a:ln>
                      <a:noFill/>
                    </a:ln>
                  </pic:spPr>
                </pic:pic>
              </a:graphicData>
            </a:graphic>
          </wp:inline>
        </w:drawing>
      </w:r>
    </w:p>
    <w:p w14:paraId="5D43E76F">
      <w:pPr>
        <w:pStyle w:val="11"/>
        <w:ind w:left="0" w:leftChars="0" w:firstLine="0" w:firstLineChars="0"/>
        <w:rPr>
          <w:rFonts w:hint="default" w:eastAsia="仿宋_GB2312"/>
          <w:lang w:val="en-US" w:eastAsia="zh-CN"/>
        </w:rPr>
      </w:pPr>
      <w:r>
        <w:t xml:space="preserve">图 </w:t>
      </w:r>
      <w:r>
        <w:fldChar w:fldCharType="begin"/>
      </w:r>
      <w:r>
        <w:instrText xml:space="preserve"> STYLEREF 1 \s </w:instrText>
      </w:r>
      <w:r>
        <w:fldChar w:fldCharType="separate"/>
      </w:r>
      <w:r>
        <w:t>3</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货运量现状图</w:t>
      </w:r>
    </w:p>
    <w:p w14:paraId="3D218C7F">
      <w:pPr>
        <w:bidi w:val="0"/>
        <w:rPr>
          <w:rFonts w:hint="eastAsia"/>
        </w:rPr>
      </w:pPr>
      <w:r>
        <w:rPr>
          <w:rFonts w:hint="eastAsia"/>
        </w:rPr>
        <w:t>新的国际形</w:t>
      </w:r>
      <w:r>
        <w:rPr>
          <w:rFonts w:hint="eastAsia"/>
          <w:lang w:eastAsia="zh-CN"/>
        </w:rPr>
        <w:t>势</w:t>
      </w:r>
      <w:r>
        <w:rPr>
          <w:rFonts w:hint="eastAsia"/>
        </w:rPr>
        <w:t>下，物流行业重心逐渐向北移动，其中代表数据为</w:t>
      </w:r>
      <w:r>
        <w:rPr>
          <w:rFonts w:hint="eastAsia"/>
          <w:lang w:eastAsia="zh-CN"/>
        </w:rPr>
        <w:t>内蒙古</w:t>
      </w:r>
      <w:r>
        <w:rPr>
          <w:rFonts w:hint="eastAsia"/>
        </w:rPr>
        <w:t>货运量，</w:t>
      </w:r>
      <w:r>
        <w:rPr>
          <w:rFonts w:hint="eastAsia"/>
          <w:lang w:eastAsia="zh-CN"/>
        </w:rPr>
        <w:t>内蒙古</w:t>
      </w:r>
      <w:r>
        <w:rPr>
          <w:rFonts w:hint="eastAsia"/>
        </w:rPr>
        <w:t>口岸货运量由2022年5000万吨增长至23年1亿吨，年增长超80%</w:t>
      </w:r>
      <w:r>
        <w:rPr>
          <w:rFonts w:hint="eastAsia"/>
          <w:lang w:eastAsia="zh-CN"/>
        </w:rPr>
        <w:t>。</w:t>
      </w:r>
      <w:r>
        <w:rPr>
          <w:rFonts w:hint="eastAsia"/>
          <w:lang w:val="en-US" w:eastAsia="zh-CN"/>
        </w:rPr>
        <w:t>截至2024年12月中旬，内蒙古自治区口岸货运量已达1.2亿吨。其中与通辽、辽宁关系密切的</w:t>
      </w:r>
      <w:r>
        <w:rPr>
          <w:rFonts w:hint="eastAsia"/>
        </w:rPr>
        <w:t>二连浩特口岸</w:t>
      </w:r>
      <w:r>
        <w:rPr>
          <w:rFonts w:hint="eastAsia"/>
          <w:lang w:val="en-US" w:eastAsia="zh-CN"/>
        </w:rPr>
        <w:t>与</w:t>
      </w:r>
      <w:r>
        <w:rPr>
          <w:rFonts w:hint="eastAsia"/>
        </w:rPr>
        <w:t>满洲里进出口</w:t>
      </w:r>
      <w:r>
        <w:rPr>
          <w:rFonts w:hint="eastAsia"/>
          <w:lang w:val="en-US" w:eastAsia="zh-CN"/>
        </w:rPr>
        <w:t>均超2</w:t>
      </w:r>
      <w:r>
        <w:rPr>
          <w:rFonts w:hint="eastAsia"/>
        </w:rPr>
        <w:t>000万吨。主要是</w:t>
      </w:r>
      <w:r>
        <w:rPr>
          <w:rFonts w:hint="eastAsia"/>
          <w:lang w:val="en-US" w:eastAsia="zh-CN"/>
        </w:rPr>
        <w:t>进口商品为</w:t>
      </w:r>
      <w:r>
        <w:rPr>
          <w:rFonts w:hint="eastAsia"/>
        </w:rPr>
        <w:t>煤炭，铁矿石</w:t>
      </w:r>
      <w:r>
        <w:rPr>
          <w:rFonts w:hint="eastAsia"/>
          <w:lang w:eastAsia="zh-CN"/>
        </w:rPr>
        <w:t>，</w:t>
      </w:r>
      <w:r>
        <w:rPr>
          <w:rFonts w:hint="eastAsia"/>
          <w:lang w:val="en-US" w:eastAsia="zh-CN"/>
        </w:rPr>
        <w:t>粮食</w:t>
      </w:r>
      <w:r>
        <w:rPr>
          <w:rFonts w:hint="eastAsia"/>
          <w:lang w:eastAsia="zh-CN"/>
        </w:rPr>
        <w:t>；</w:t>
      </w:r>
      <w:r>
        <w:rPr>
          <w:rFonts w:hint="eastAsia"/>
        </w:rPr>
        <w:t>向外</w:t>
      </w:r>
      <w:r>
        <w:rPr>
          <w:rFonts w:hint="eastAsia"/>
          <w:lang w:val="en-US" w:eastAsia="zh-CN"/>
        </w:rPr>
        <w:t>出口多为轻工业加工成品</w:t>
      </w:r>
      <w:r>
        <w:rPr>
          <w:rFonts w:hint="eastAsia"/>
        </w:rPr>
        <w:t>。</w:t>
      </w:r>
    </w:p>
    <w:p w14:paraId="5F99EB69">
      <w:pPr>
        <w:bidi w:val="0"/>
        <w:rPr>
          <w:rFonts w:hint="eastAsia"/>
        </w:rPr>
      </w:pPr>
      <w:r>
        <w:rPr>
          <w:rFonts w:hint="eastAsia"/>
        </w:rPr>
        <w:t>通辽公路货运量由2019年8000万吨上升至23年的1亿吨。结合辽西北特高压输电工程，2027年后风光电新能源将有新一轮大规模建设</w:t>
      </w:r>
      <w:r>
        <w:rPr>
          <w:rFonts w:hint="eastAsia"/>
          <w:lang w:eastAsia="zh-CN"/>
        </w:rPr>
        <w:t>，</w:t>
      </w:r>
      <w:r>
        <w:rPr>
          <w:rFonts w:hint="eastAsia"/>
          <w:lang w:val="en-US" w:eastAsia="zh-CN"/>
        </w:rPr>
        <w:t>预计2035年需求如下图所示：</w:t>
      </w:r>
    </w:p>
    <w:p w14:paraId="04A2EB8E">
      <w:pPr>
        <w:pStyle w:val="24"/>
        <w:bidi w:val="0"/>
        <w:rPr>
          <w:rFonts w:hint="eastAsia"/>
          <w:highlight w:val="none"/>
        </w:rPr>
      </w:pPr>
      <w:r>
        <w:rPr>
          <w:highlight w:val="none"/>
        </w:rPr>
        <w:drawing>
          <wp:inline distT="0" distB="0" distL="114300" distR="114300">
            <wp:extent cx="5267325" cy="3983355"/>
            <wp:effectExtent l="0" t="0" r="9525" b="1714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3"/>
                    <a:stretch>
                      <a:fillRect/>
                    </a:stretch>
                  </pic:blipFill>
                  <pic:spPr>
                    <a:xfrm>
                      <a:off x="0" y="0"/>
                      <a:ext cx="5267325" cy="3983355"/>
                    </a:xfrm>
                    <a:prstGeom prst="rect">
                      <a:avLst/>
                    </a:prstGeom>
                    <a:noFill/>
                    <a:ln>
                      <a:noFill/>
                    </a:ln>
                  </pic:spPr>
                </pic:pic>
              </a:graphicData>
            </a:graphic>
          </wp:inline>
        </w:drawing>
      </w:r>
    </w:p>
    <w:p w14:paraId="5B1F67F2">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3</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rPr>
          <w:rFonts w:hint="eastAsia"/>
          <w:lang w:val="en-US" w:eastAsia="zh-CN"/>
        </w:rPr>
        <w:t xml:space="preserve"> </w:t>
      </w:r>
      <w:r>
        <w:rPr>
          <w:rFonts w:hint="eastAsia"/>
          <w:highlight w:val="none"/>
          <w:lang w:val="en-US" w:eastAsia="zh-CN"/>
        </w:rPr>
        <w:t>2035年货运预测</w:t>
      </w:r>
    </w:p>
    <w:p w14:paraId="48FB8BCD">
      <w:pPr>
        <w:rPr>
          <w:rFonts w:hint="default" w:ascii="仿宋" w:hAnsi="仿宋" w:eastAsia="仿宋"/>
          <w:highlight w:val="none"/>
          <w:lang w:val="en-US" w:eastAsia="zh-CN"/>
        </w:rPr>
      </w:pPr>
      <w:r>
        <w:rPr>
          <w:rFonts w:hint="default" w:ascii="仿宋" w:hAnsi="仿宋" w:eastAsia="仿宋"/>
          <w:highlight w:val="none"/>
          <w:lang w:val="en-US" w:eastAsia="zh-CN"/>
        </w:rPr>
        <w:br w:type="page"/>
      </w:r>
    </w:p>
    <w:p w14:paraId="58466437">
      <w:pPr>
        <w:pStyle w:val="2"/>
        <w:bidi w:val="0"/>
        <w:rPr>
          <w:rFonts w:hint="default"/>
          <w:highlight w:val="none"/>
          <w:lang w:val="en-US" w:eastAsia="zh-CN"/>
        </w:rPr>
      </w:pPr>
      <w:bookmarkStart w:id="59" w:name="_Toc13638"/>
      <w:bookmarkStart w:id="60" w:name="_Toc24929"/>
      <w:bookmarkStart w:id="61" w:name="_Toc14670"/>
      <w:r>
        <w:rPr>
          <w:rFonts w:hint="eastAsia"/>
          <w:highlight w:val="none"/>
          <w:lang w:val="en-US" w:eastAsia="zh-CN"/>
        </w:rPr>
        <w:t>经验借鉴</w:t>
      </w:r>
      <w:bookmarkEnd w:id="59"/>
      <w:bookmarkEnd w:id="60"/>
      <w:bookmarkEnd w:id="61"/>
    </w:p>
    <w:p w14:paraId="7FD51266">
      <w:pPr>
        <w:pStyle w:val="3"/>
        <w:bidi w:val="0"/>
        <w:rPr>
          <w:rFonts w:hint="default"/>
          <w:highlight w:val="none"/>
          <w:lang w:val="en-US" w:eastAsia="zh-CN"/>
        </w:rPr>
      </w:pPr>
      <w:bookmarkStart w:id="62" w:name="_Toc5931"/>
      <w:bookmarkStart w:id="63" w:name="_Toc2860"/>
      <w:bookmarkStart w:id="64" w:name="_Toc7756"/>
      <w:r>
        <w:rPr>
          <w:rFonts w:hint="eastAsia"/>
          <w:highlight w:val="none"/>
          <w:lang w:val="en-US" w:eastAsia="zh-CN"/>
        </w:rPr>
        <w:t>临沂物流发展</w:t>
      </w:r>
      <w:bookmarkEnd w:id="62"/>
      <w:bookmarkEnd w:id="63"/>
      <w:bookmarkEnd w:id="64"/>
    </w:p>
    <w:p w14:paraId="0786241A">
      <w:pPr>
        <w:rPr>
          <w:rFonts w:hint="default"/>
          <w:highlight w:val="none"/>
          <w:lang w:val="en-US" w:eastAsia="zh-CN"/>
        </w:rPr>
      </w:pPr>
      <w:r>
        <w:rPr>
          <w:rFonts w:hint="default"/>
          <w:highlight w:val="none"/>
          <w:lang w:val="en-US" w:eastAsia="zh-CN"/>
        </w:rPr>
        <w:t>临沂以商立市，在成就“中国市场名城”的同时打造了“中国物流之都”。</w:t>
      </w:r>
      <w:r>
        <w:rPr>
          <w:rFonts w:hint="eastAsia"/>
          <w:highlight w:val="none"/>
          <w:lang w:val="en-US" w:eastAsia="zh-CN"/>
        </w:rPr>
        <w:t>建设</w:t>
      </w:r>
      <w:r>
        <w:rPr>
          <w:rFonts w:hint="default"/>
          <w:highlight w:val="none"/>
          <w:lang w:val="en-US" w:eastAsia="zh-CN"/>
        </w:rPr>
        <w:t>全国规模最大的专业市场集群之一和省级国际贸易综合改革试点，现有专业市场134处，占地面积1447.9万平方米，经营业户6万余户。</w:t>
      </w:r>
    </w:p>
    <w:p w14:paraId="7365806B">
      <w:pPr>
        <w:ind w:left="0" w:leftChars="0" w:firstLine="0" w:firstLineChars="0"/>
        <w:rPr>
          <w:highlight w:val="none"/>
        </w:rPr>
      </w:pPr>
      <w:r>
        <w:rPr>
          <w:highlight w:val="none"/>
        </w:rPr>
        <w:drawing>
          <wp:inline distT="0" distB="0" distL="114300" distR="114300">
            <wp:extent cx="5273675" cy="4518025"/>
            <wp:effectExtent l="0" t="0" r="3175" b="1587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4"/>
                    <a:stretch>
                      <a:fillRect/>
                    </a:stretch>
                  </pic:blipFill>
                  <pic:spPr>
                    <a:xfrm>
                      <a:off x="0" y="0"/>
                      <a:ext cx="5273675" cy="4518025"/>
                    </a:xfrm>
                    <a:prstGeom prst="rect">
                      <a:avLst/>
                    </a:prstGeom>
                    <a:noFill/>
                    <a:ln>
                      <a:noFill/>
                    </a:ln>
                  </pic:spPr>
                </pic:pic>
              </a:graphicData>
            </a:graphic>
          </wp:inline>
        </w:drawing>
      </w:r>
    </w:p>
    <w:p w14:paraId="3C1E1190">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4</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临沂商贸物流图</w:t>
      </w:r>
    </w:p>
    <w:p w14:paraId="45B08F02">
      <w:pPr>
        <w:bidi w:val="0"/>
        <w:rPr>
          <w:rFonts w:hint="eastAsia"/>
          <w:highlight w:val="none"/>
          <w:lang w:val="en-US" w:eastAsia="zh-CN"/>
        </w:rPr>
      </w:pPr>
      <w:r>
        <w:rPr>
          <w:rFonts w:hint="eastAsia"/>
          <w:highlight w:val="none"/>
          <w:lang w:val="en-US" w:eastAsia="zh-CN"/>
        </w:rPr>
        <w:t>建立了全国领先的公路物流，其覆盖面广，拥有2000多条国内配载线路，东至沿海，西至新疆，北至漠河，南至海口，覆盖全国1800个县级以上城市，几乎通达全国所有港口和口岸；时效性强，当日收货、当日配货、当日发货，600公里以内当日或次日到达，1500公里以内隔日到达，3000公里以上3-7日到达；拥有完善的网络、密集的班次、精细的配载，成就了临沂物流价格比全国平均水平低25%-30%，吸引了大量的中转货源。</w:t>
      </w:r>
    </w:p>
    <w:p w14:paraId="355EBE2E">
      <w:pPr>
        <w:pStyle w:val="24"/>
        <w:bidi w:val="0"/>
        <w:rPr>
          <w:rFonts w:hint="eastAsia"/>
          <w:highlight w:val="none"/>
          <w:lang w:val="en-US" w:eastAsia="zh-CN"/>
        </w:rPr>
      </w:pPr>
      <w:r>
        <w:rPr>
          <w:highlight w:val="none"/>
        </w:rPr>
        <w:drawing>
          <wp:inline distT="0" distB="0" distL="114300" distR="114300">
            <wp:extent cx="5272405" cy="4518660"/>
            <wp:effectExtent l="0" t="0" r="444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5272405" cy="4518660"/>
                    </a:xfrm>
                    <a:prstGeom prst="rect">
                      <a:avLst/>
                    </a:prstGeom>
                    <a:noFill/>
                    <a:ln>
                      <a:noFill/>
                    </a:ln>
                  </pic:spPr>
                </pic:pic>
              </a:graphicData>
            </a:graphic>
          </wp:inline>
        </w:drawing>
      </w:r>
    </w:p>
    <w:p w14:paraId="56C4D9B4">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4</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rPr>
          <w:rFonts w:hint="eastAsia"/>
          <w:lang w:val="en-US" w:eastAsia="zh-CN"/>
        </w:rPr>
        <w:t xml:space="preserve"> </w:t>
      </w:r>
      <w:r>
        <w:rPr>
          <w:rFonts w:hint="eastAsia"/>
          <w:highlight w:val="none"/>
          <w:lang w:val="en-US" w:eastAsia="zh-CN"/>
        </w:rPr>
        <w:t>临沂物流配送图</w:t>
      </w:r>
    </w:p>
    <w:p w14:paraId="76CCA732">
      <w:pPr>
        <w:pStyle w:val="3"/>
        <w:bidi w:val="0"/>
        <w:rPr>
          <w:rFonts w:hint="default"/>
          <w:highlight w:val="none"/>
          <w:lang w:val="en-US" w:eastAsia="zh-CN"/>
        </w:rPr>
      </w:pPr>
      <w:bookmarkStart w:id="65" w:name="_Toc9001"/>
      <w:bookmarkStart w:id="66" w:name="_Toc11634"/>
      <w:bookmarkStart w:id="67" w:name="_Toc4318"/>
      <w:r>
        <w:rPr>
          <w:rFonts w:hint="eastAsia"/>
          <w:highlight w:val="none"/>
          <w:lang w:val="en-US" w:eastAsia="zh-CN"/>
        </w:rPr>
        <w:t>对彰武的启示</w:t>
      </w:r>
      <w:bookmarkEnd w:id="65"/>
      <w:bookmarkEnd w:id="66"/>
      <w:bookmarkEnd w:id="67"/>
    </w:p>
    <w:p w14:paraId="29C685EB">
      <w:pPr>
        <w:rPr>
          <w:rFonts w:hint="default"/>
          <w:highlight w:val="none"/>
          <w:lang w:val="en-US" w:eastAsia="zh-CN"/>
        </w:rPr>
      </w:pPr>
      <w:r>
        <w:rPr>
          <w:rFonts w:hint="eastAsia"/>
          <w:highlight w:val="none"/>
          <w:lang w:val="en-US" w:eastAsia="zh-CN"/>
        </w:rPr>
        <w:t>通过对临沂物流体系发展的深刻剖析，彰武需再产业、物流联动发展、打通物流配载线路以及加快智慧物流建设三个方面来构建物流体系。</w:t>
      </w:r>
    </w:p>
    <w:p w14:paraId="78055CB1">
      <w:pPr>
        <w:bidi w:val="0"/>
        <w:rPr>
          <w:rFonts w:hint="eastAsia"/>
          <w:highlight w:val="none"/>
          <w:lang w:val="en-US" w:eastAsia="zh-CN"/>
        </w:rPr>
      </w:pPr>
      <w:bookmarkStart w:id="68" w:name="_Toc6086"/>
      <w:r>
        <w:rPr>
          <w:rFonts w:hint="eastAsia"/>
          <w:highlight w:val="none"/>
          <w:lang w:val="en-US" w:eastAsia="zh-CN"/>
        </w:rPr>
        <w:t>1.产业、物流联动发展</w:t>
      </w:r>
      <w:bookmarkEnd w:id="68"/>
    </w:p>
    <w:p w14:paraId="5E808F4D">
      <w:pPr>
        <w:rPr>
          <w:rFonts w:hint="default"/>
          <w:highlight w:val="none"/>
          <w:lang w:val="en-US" w:eastAsia="zh-CN"/>
        </w:rPr>
      </w:pPr>
      <w:r>
        <w:rPr>
          <w:rFonts w:hint="default"/>
          <w:highlight w:val="none"/>
          <w:lang w:val="en-US" w:eastAsia="zh-CN"/>
        </w:rPr>
        <w:t>加快形成产业促进物流、物流反哺产业的联动发展模式。</w:t>
      </w:r>
    </w:p>
    <w:p w14:paraId="53C0D8BC">
      <w:pPr>
        <w:rPr>
          <w:rFonts w:hint="default"/>
          <w:highlight w:val="none"/>
          <w:lang w:val="en-US" w:eastAsia="zh-CN"/>
        </w:rPr>
      </w:pPr>
      <w:r>
        <w:rPr>
          <w:rFonts w:hint="default"/>
          <w:highlight w:val="none"/>
          <w:lang w:val="en-US" w:eastAsia="zh-CN"/>
        </w:rPr>
        <w:t>产业与物流的紧密合作能够降低生产成本‌。通过高效的物流系统，彰武农产品加工以及硅砂加工产业可以更快地获取原材料，减少库存积压，从而降低存储和运营成本。</w:t>
      </w:r>
    </w:p>
    <w:p w14:paraId="58B9BC1F">
      <w:pPr>
        <w:rPr>
          <w:rFonts w:hint="default"/>
          <w:highlight w:val="none"/>
          <w:lang w:val="en-US" w:eastAsia="zh-CN"/>
        </w:rPr>
      </w:pPr>
      <w:r>
        <w:rPr>
          <w:rFonts w:hint="default"/>
          <w:highlight w:val="none"/>
          <w:lang w:val="en-US" w:eastAsia="zh-CN"/>
        </w:rPr>
        <w:t>‌物流的发展为产业扩张提供了有力支持‌。随着物流网络的不断完善，企业可以更轻松地将产品送达更远的市场，从而扩大销售范围，提高市场份额。“硅砂内陆港”作为“通满欧”国际班列的节点，结合彰武公路物流以及与大连港、营口港等港口的密切合作，以“一带一路”</w:t>
      </w:r>
      <w:r>
        <w:rPr>
          <w:rFonts w:hint="eastAsia"/>
          <w:highlight w:val="none"/>
          <w:lang w:val="en-US" w:eastAsia="zh-CN"/>
        </w:rPr>
        <w:t>倡议</w:t>
      </w:r>
      <w:r>
        <w:rPr>
          <w:rFonts w:hint="default"/>
          <w:highlight w:val="none"/>
          <w:lang w:val="en-US" w:eastAsia="zh-CN"/>
        </w:rPr>
        <w:t>支线的形式连接整个东北亚地区的物流网，为企业提供运力保障。</w:t>
      </w:r>
    </w:p>
    <w:p w14:paraId="0181C6D9">
      <w:pPr>
        <w:rPr>
          <w:rFonts w:hint="default"/>
          <w:highlight w:val="none"/>
          <w:lang w:val="en-US" w:eastAsia="zh-CN"/>
        </w:rPr>
      </w:pPr>
      <w:r>
        <w:rPr>
          <w:rFonts w:hint="eastAsia"/>
          <w:highlight w:val="none"/>
          <w:lang w:val="en-US" w:eastAsia="zh-CN"/>
        </w:rPr>
        <w:t>物流产业要以买全国卖全国为目标，建立卖全国的重要物流节点直发仓。</w:t>
      </w:r>
      <w:r>
        <w:rPr>
          <w:rFonts w:hint="default"/>
          <w:highlight w:val="none"/>
          <w:lang w:val="en-US" w:eastAsia="zh-CN"/>
        </w:rPr>
        <w:t>‌产业与物流的协同发展还有助于创新‌。两者之间的互动可以激发新的商业模式和服务，从而推动整个</w:t>
      </w:r>
      <w:r>
        <w:rPr>
          <w:rFonts w:hint="eastAsia"/>
          <w:highlight w:val="none"/>
          <w:lang w:val="en-US" w:eastAsia="zh-CN"/>
        </w:rPr>
        <w:t>行业创新性发展。</w:t>
      </w:r>
    </w:p>
    <w:p w14:paraId="0A83A2D7">
      <w:pPr>
        <w:pStyle w:val="24"/>
        <w:bidi w:val="0"/>
        <w:rPr>
          <w:highlight w:val="none"/>
        </w:rPr>
      </w:pPr>
      <w:r>
        <w:rPr>
          <w:highlight w:val="none"/>
        </w:rPr>
        <w:drawing>
          <wp:inline distT="0" distB="0" distL="114300" distR="114300">
            <wp:extent cx="5271135" cy="5187950"/>
            <wp:effectExtent l="0" t="0" r="5715" b="1270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6"/>
                    <a:stretch>
                      <a:fillRect/>
                    </a:stretch>
                  </pic:blipFill>
                  <pic:spPr>
                    <a:xfrm>
                      <a:off x="0" y="0"/>
                      <a:ext cx="5271135" cy="5187950"/>
                    </a:xfrm>
                    <a:prstGeom prst="rect">
                      <a:avLst/>
                    </a:prstGeom>
                    <a:noFill/>
                    <a:ln>
                      <a:noFill/>
                    </a:ln>
                  </pic:spPr>
                </pic:pic>
              </a:graphicData>
            </a:graphic>
          </wp:inline>
        </w:drawing>
      </w:r>
    </w:p>
    <w:p w14:paraId="4162EDCF">
      <w:pPr>
        <w:pStyle w:val="11"/>
        <w:bidi w:val="0"/>
        <w:rPr>
          <w:rFonts w:hint="default"/>
          <w:highlight w:val="none"/>
          <w:lang w:val="en-US" w:eastAsia="zh-CN"/>
        </w:rPr>
      </w:pPr>
      <w:bookmarkStart w:id="69" w:name="_Toc6009"/>
      <w:r>
        <w:t xml:space="preserve">图 </w:t>
      </w:r>
      <w:r>
        <w:fldChar w:fldCharType="begin"/>
      </w:r>
      <w:r>
        <w:instrText xml:space="preserve"> STYLEREF 1 \s </w:instrText>
      </w:r>
      <w:r>
        <w:fldChar w:fldCharType="separate"/>
      </w:r>
      <w:r>
        <w:t>4</w:t>
      </w:r>
      <w:r>
        <w:fldChar w:fldCharType="end"/>
      </w:r>
      <w:r>
        <w:rPr>
          <w:rFonts w:hint="eastAsia"/>
          <w:lang w:eastAsia="zh-CN"/>
        </w:rPr>
        <w:t>-</w:t>
      </w:r>
      <w:r>
        <w:fldChar w:fldCharType="begin"/>
      </w:r>
      <w:r>
        <w:instrText xml:space="preserve"> SEQ 图 \* ARABIC \s 1 </w:instrText>
      </w:r>
      <w:r>
        <w:fldChar w:fldCharType="separate"/>
      </w:r>
      <w:r>
        <w:t>3</w:t>
      </w:r>
      <w:r>
        <w:fldChar w:fldCharType="end"/>
      </w:r>
      <w:r>
        <w:rPr>
          <w:rFonts w:hint="eastAsia"/>
          <w:lang w:val="en-US" w:eastAsia="zh-CN"/>
        </w:rPr>
        <w:t xml:space="preserve"> </w:t>
      </w:r>
      <w:r>
        <w:rPr>
          <w:rFonts w:hint="eastAsia"/>
          <w:highlight w:val="none"/>
          <w:lang w:val="en-US" w:eastAsia="zh-CN"/>
        </w:rPr>
        <w:t>产业、物流联动发展图</w:t>
      </w:r>
      <w:bookmarkEnd w:id="69"/>
    </w:p>
    <w:p w14:paraId="59760CCE">
      <w:pPr>
        <w:bidi w:val="0"/>
        <w:rPr>
          <w:rFonts w:hint="eastAsia"/>
          <w:highlight w:val="none"/>
          <w:lang w:val="en-US" w:eastAsia="zh-CN"/>
        </w:rPr>
      </w:pPr>
      <w:bookmarkStart w:id="70" w:name="_Toc18893"/>
      <w:r>
        <w:rPr>
          <w:rFonts w:hint="eastAsia"/>
          <w:highlight w:val="none"/>
          <w:lang w:val="en-US" w:eastAsia="zh-CN"/>
        </w:rPr>
        <w:t>2.打通物流配载线路</w:t>
      </w:r>
      <w:bookmarkEnd w:id="70"/>
    </w:p>
    <w:p w14:paraId="199EFFFE">
      <w:pPr>
        <w:rPr>
          <w:rFonts w:hint="default"/>
          <w:highlight w:val="none"/>
          <w:lang w:val="en-US" w:eastAsia="zh-CN"/>
        </w:rPr>
      </w:pPr>
      <w:r>
        <w:rPr>
          <w:rFonts w:hint="default"/>
          <w:highlight w:val="none"/>
          <w:lang w:val="en-US" w:eastAsia="zh-CN"/>
        </w:rPr>
        <w:t>加快基础运输网络建设，依托彰武县区域交通禀赋，打通彰武到沈阳、长春、京津冀地区、通辽等内陆港，彰武到大连港、营口港、锦州港等海港的运输专线，同时提升内部货物集散能力，完善中心城区物流</w:t>
      </w:r>
      <w:r>
        <w:rPr>
          <w:rFonts w:hint="eastAsia"/>
          <w:highlight w:val="none"/>
          <w:lang w:val="en-US" w:eastAsia="zh-CN"/>
        </w:rPr>
        <w:t>枢纽</w:t>
      </w:r>
      <w:r>
        <w:rPr>
          <w:rFonts w:hint="default"/>
          <w:highlight w:val="none"/>
          <w:lang w:val="en-US" w:eastAsia="zh-CN"/>
        </w:rPr>
        <w:t>至各</w:t>
      </w:r>
      <w:r>
        <w:rPr>
          <w:rFonts w:hint="eastAsia"/>
          <w:highlight w:val="none"/>
          <w:lang w:val="en-US" w:eastAsia="zh-CN"/>
        </w:rPr>
        <w:t>配送中心</w:t>
      </w:r>
      <w:r>
        <w:rPr>
          <w:rFonts w:hint="default"/>
          <w:highlight w:val="none"/>
          <w:lang w:val="en-US" w:eastAsia="zh-CN"/>
        </w:rPr>
        <w:t>，镇区物流站点的交通运输网络建设，实现县域内部物流高效运转。完善运输网络、打通配载线路后可实现物流成本的降低。进而</w:t>
      </w:r>
      <w:r>
        <w:rPr>
          <w:rFonts w:hint="eastAsia"/>
          <w:highlight w:val="none"/>
          <w:lang w:val="en-US" w:eastAsia="zh-CN"/>
        </w:rPr>
        <w:t>打造</w:t>
      </w:r>
      <w:r>
        <w:rPr>
          <w:rFonts w:hint="default"/>
          <w:highlight w:val="none"/>
          <w:lang w:val="en-US" w:eastAsia="zh-CN"/>
        </w:rPr>
        <w:t>与周边县市的配载线路，实现吸纳周边地区中转货源，围绕彰武县农产品加工产业以及硅砂加工产业，打造农产品以及硅砂的区域性商贸物流交易中心。</w:t>
      </w:r>
    </w:p>
    <w:p w14:paraId="043A7115">
      <w:pPr>
        <w:pStyle w:val="24"/>
        <w:bidi w:val="0"/>
        <w:rPr>
          <w:highlight w:val="none"/>
        </w:rPr>
      </w:pPr>
      <w:r>
        <w:rPr>
          <w:highlight w:val="none"/>
        </w:rPr>
        <w:drawing>
          <wp:inline distT="0" distB="0" distL="114300" distR="114300">
            <wp:extent cx="5270500" cy="5266055"/>
            <wp:effectExtent l="0" t="0" r="6350" b="1079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7"/>
                    <a:stretch>
                      <a:fillRect/>
                    </a:stretch>
                  </pic:blipFill>
                  <pic:spPr>
                    <a:xfrm>
                      <a:off x="0" y="0"/>
                      <a:ext cx="5270500" cy="5266055"/>
                    </a:xfrm>
                    <a:prstGeom prst="rect">
                      <a:avLst/>
                    </a:prstGeom>
                    <a:noFill/>
                    <a:ln>
                      <a:noFill/>
                    </a:ln>
                  </pic:spPr>
                </pic:pic>
              </a:graphicData>
            </a:graphic>
          </wp:inline>
        </w:drawing>
      </w:r>
    </w:p>
    <w:p w14:paraId="3F1BBDBF">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4</w:t>
      </w:r>
      <w:r>
        <w:fldChar w:fldCharType="end"/>
      </w:r>
      <w:r>
        <w:rPr>
          <w:rFonts w:hint="eastAsia"/>
          <w:lang w:eastAsia="zh-CN"/>
        </w:rPr>
        <w:t>-</w:t>
      </w:r>
      <w:r>
        <w:fldChar w:fldCharType="begin"/>
      </w:r>
      <w:r>
        <w:instrText xml:space="preserve"> SEQ 图 \* ARABIC \s 1 </w:instrText>
      </w:r>
      <w:r>
        <w:fldChar w:fldCharType="separate"/>
      </w:r>
      <w:r>
        <w:t>4</w:t>
      </w:r>
      <w:r>
        <w:fldChar w:fldCharType="end"/>
      </w:r>
      <w:r>
        <w:rPr>
          <w:rFonts w:hint="eastAsia"/>
          <w:lang w:val="en-US" w:eastAsia="zh-CN"/>
        </w:rPr>
        <w:t xml:space="preserve"> </w:t>
      </w:r>
      <w:r>
        <w:rPr>
          <w:rFonts w:hint="eastAsia"/>
          <w:highlight w:val="none"/>
          <w:lang w:val="en-US" w:eastAsia="zh-CN"/>
        </w:rPr>
        <w:t>物流配送方案图</w:t>
      </w:r>
    </w:p>
    <w:p w14:paraId="239967E1">
      <w:pPr>
        <w:bidi w:val="0"/>
        <w:rPr>
          <w:rFonts w:hint="eastAsia"/>
          <w:highlight w:val="none"/>
          <w:lang w:val="en-US" w:eastAsia="zh-CN"/>
        </w:rPr>
      </w:pPr>
      <w:bookmarkStart w:id="71" w:name="_Toc4731"/>
      <w:r>
        <w:rPr>
          <w:rFonts w:hint="eastAsia"/>
          <w:highlight w:val="none"/>
          <w:lang w:val="en-US" w:eastAsia="zh-CN"/>
        </w:rPr>
        <w:t>3.加快智慧物流建设</w:t>
      </w:r>
      <w:bookmarkEnd w:id="71"/>
    </w:p>
    <w:p w14:paraId="06A7A96E">
      <w:pPr>
        <w:bidi w:val="0"/>
        <w:rPr>
          <w:rFonts w:hint="default"/>
          <w:highlight w:val="none"/>
          <w:lang w:val="en-US" w:eastAsia="zh-CN"/>
        </w:rPr>
      </w:pPr>
      <w:r>
        <w:rPr>
          <w:rFonts w:hint="default"/>
          <w:highlight w:val="none"/>
          <w:lang w:val="en-US" w:eastAsia="zh-CN"/>
        </w:rPr>
        <w:t>《阜新市构建现代物流体系攻坚行动方案》提出，2024年初步建立“通道＋枢纽＋网络＋平台（企业）”的现代物流体系。</w:t>
      </w:r>
    </w:p>
    <w:p w14:paraId="462581B6">
      <w:pPr>
        <w:bidi w:val="0"/>
        <w:rPr>
          <w:rFonts w:hint="default"/>
          <w:highlight w:val="none"/>
          <w:lang w:val="en-US" w:eastAsia="zh-CN"/>
        </w:rPr>
      </w:pPr>
      <w:r>
        <w:rPr>
          <w:rFonts w:hint="default"/>
          <w:highlight w:val="none"/>
          <w:lang w:val="en-US" w:eastAsia="zh-CN"/>
        </w:rPr>
        <w:t>‌搭建物流信息平台：通过物流信息平台对物流信息的收集、传递、存储、处理、输出等，提供决策依据，对整个物流活动进行指挥、协调、支持和保障‌。</w:t>
      </w:r>
    </w:p>
    <w:p w14:paraId="7FC06CE5">
      <w:pPr>
        <w:bidi w:val="0"/>
        <w:rPr>
          <w:rFonts w:hint="default"/>
          <w:highlight w:val="none"/>
          <w:lang w:val="en-US" w:eastAsia="zh-CN"/>
        </w:rPr>
      </w:pPr>
      <w:r>
        <w:rPr>
          <w:rFonts w:hint="default"/>
          <w:highlight w:val="none"/>
          <w:lang w:val="en-US" w:eastAsia="zh-CN"/>
        </w:rPr>
        <w:t>提升物流效率和服务质量‌：通过物联网、大数据、人工智能等技术的应用，实现物流全过程的智能化管理和优化，大幅提高物流运作效率和服务精准度</w:t>
      </w:r>
      <w:r>
        <w:rPr>
          <w:rFonts w:hint="eastAsia"/>
          <w:highlight w:val="none"/>
          <w:lang w:val="en-US" w:eastAsia="zh-CN"/>
        </w:rPr>
        <w:t>，降低物流车辆空驶比例，提升各仓储、转运中心利用效率，提高物流企业利润率</w:t>
      </w:r>
      <w:r>
        <w:rPr>
          <w:rFonts w:hint="default"/>
          <w:highlight w:val="none"/>
          <w:lang w:val="en-US" w:eastAsia="zh-CN"/>
        </w:rPr>
        <w:t>，降低运营成本‌。</w:t>
      </w:r>
    </w:p>
    <w:p w14:paraId="33FF45D0">
      <w:pPr>
        <w:rPr>
          <w:rFonts w:hint="default"/>
          <w:highlight w:val="none"/>
          <w:lang w:val="en-US" w:eastAsia="zh-CN"/>
        </w:rPr>
      </w:pPr>
      <w:r>
        <w:rPr>
          <w:rFonts w:hint="default"/>
          <w:highlight w:val="none"/>
          <w:lang w:val="en-US" w:eastAsia="zh-CN"/>
        </w:rPr>
        <w:br w:type="page"/>
      </w:r>
    </w:p>
    <w:p w14:paraId="1FC25481">
      <w:pPr>
        <w:pStyle w:val="2"/>
        <w:bidi w:val="0"/>
        <w:rPr>
          <w:rFonts w:hint="default"/>
          <w:highlight w:val="none"/>
          <w:lang w:val="en-US" w:eastAsia="zh-CN"/>
        </w:rPr>
      </w:pPr>
      <w:bookmarkStart w:id="72" w:name="_Toc32159"/>
      <w:bookmarkStart w:id="73" w:name="_Toc20496"/>
      <w:bookmarkStart w:id="74" w:name="_Toc24018"/>
      <w:r>
        <w:rPr>
          <w:rFonts w:hint="eastAsia"/>
          <w:highlight w:val="none"/>
          <w:lang w:val="en-US" w:eastAsia="zh-CN"/>
        </w:rPr>
        <w:t>空间布局</w:t>
      </w:r>
      <w:bookmarkEnd w:id="72"/>
      <w:bookmarkEnd w:id="73"/>
      <w:bookmarkEnd w:id="74"/>
    </w:p>
    <w:p w14:paraId="60F3E10F">
      <w:pPr>
        <w:pStyle w:val="3"/>
        <w:bidi w:val="0"/>
        <w:rPr>
          <w:rFonts w:hint="default"/>
          <w:highlight w:val="none"/>
          <w:lang w:val="en-US" w:eastAsia="zh-CN"/>
        </w:rPr>
      </w:pPr>
      <w:bookmarkStart w:id="75" w:name="_Toc6324"/>
      <w:bookmarkStart w:id="76" w:name="_Toc24"/>
      <w:bookmarkStart w:id="77" w:name="_Toc30440"/>
      <w:r>
        <w:rPr>
          <w:rFonts w:hint="eastAsia"/>
          <w:highlight w:val="none"/>
          <w:lang w:val="en-US" w:eastAsia="zh-CN"/>
        </w:rPr>
        <w:t>布局原则</w:t>
      </w:r>
      <w:bookmarkEnd w:id="75"/>
      <w:bookmarkEnd w:id="76"/>
      <w:bookmarkEnd w:id="77"/>
    </w:p>
    <w:p w14:paraId="365D61D8">
      <w:pPr>
        <w:bidi w:val="0"/>
        <w:rPr>
          <w:highlight w:val="none"/>
        </w:rPr>
      </w:pPr>
      <w:bookmarkStart w:id="78" w:name="_Toc12974"/>
      <w:r>
        <w:rPr>
          <w:rFonts w:hint="eastAsia"/>
          <w:highlight w:val="none"/>
        </w:rPr>
        <w:t>1、严格遵循城市规划，坚决执行刚性约束</w:t>
      </w:r>
      <w:bookmarkEnd w:id="78"/>
    </w:p>
    <w:p w14:paraId="2E27488F">
      <w:pPr>
        <w:bidi w:val="0"/>
        <w:rPr>
          <w:highlight w:val="none"/>
        </w:rPr>
      </w:pPr>
      <w:r>
        <w:rPr>
          <w:rFonts w:hint="eastAsia"/>
          <w:highlight w:val="none"/>
        </w:rPr>
        <w:t>现代物流业发展规划应当具备连贯性，并与城乡规划、国土空间规划、生态保护红线规划、综合交通规划以及法律法规规定的其他有关规划相衔接。严格依据城乡规划、国土空间规划布局新建项目及改扩建项目，做好与上位规划的衔接。充分与各区（开发区）、乡镇就用地情况进行沟通，避免项目建设与城市总体发展方向及土地利用相冲突。严格执行</w:t>
      </w:r>
      <w:r>
        <w:rPr>
          <w:rFonts w:hint="eastAsia"/>
          <w:highlight w:val="none"/>
          <w:lang w:eastAsia="zh-CN"/>
        </w:rPr>
        <w:t>彰武县</w:t>
      </w:r>
      <w:r>
        <w:rPr>
          <w:rFonts w:hint="eastAsia"/>
          <w:highlight w:val="none"/>
        </w:rPr>
        <w:t>土地利用刚性约束，避让永久基本农田。现代物流业发展因经济社会发展、生态环境保护等确需变更的，应当经</w:t>
      </w:r>
      <w:r>
        <w:rPr>
          <w:rFonts w:hint="eastAsia"/>
          <w:highlight w:val="none"/>
          <w:lang w:val="en-US" w:eastAsia="zh-CN"/>
        </w:rPr>
        <w:t>县</w:t>
      </w:r>
      <w:r>
        <w:rPr>
          <w:rFonts w:hint="eastAsia"/>
          <w:highlight w:val="none"/>
        </w:rPr>
        <w:t>政府批准，接受社会监督。</w:t>
      </w:r>
    </w:p>
    <w:p w14:paraId="0CDE0465">
      <w:pPr>
        <w:bidi w:val="0"/>
        <w:rPr>
          <w:highlight w:val="none"/>
        </w:rPr>
      </w:pPr>
      <w:bookmarkStart w:id="79" w:name="_Toc7133"/>
      <w:r>
        <w:rPr>
          <w:rFonts w:hint="eastAsia"/>
          <w:highlight w:val="none"/>
        </w:rPr>
        <w:t>2、贯彻落实国家战略，深度融合区域发展</w:t>
      </w:r>
      <w:bookmarkEnd w:id="79"/>
    </w:p>
    <w:p w14:paraId="372B7897">
      <w:pPr>
        <w:bidi w:val="0"/>
        <w:rPr>
          <w:highlight w:val="none"/>
        </w:rPr>
      </w:pPr>
      <w:r>
        <w:rPr>
          <w:rFonts w:hint="eastAsia"/>
          <w:highlight w:val="none"/>
        </w:rPr>
        <w:t>服务国家实施“一带一路”倡议、</w:t>
      </w:r>
      <w:r>
        <w:rPr>
          <w:rFonts w:hint="eastAsia"/>
          <w:highlight w:val="none"/>
          <w:lang w:val="en-US" w:eastAsia="zh-CN"/>
        </w:rPr>
        <w:t>沈阳都市圈、</w:t>
      </w:r>
      <w:r>
        <w:rPr>
          <w:rFonts w:hint="eastAsia"/>
          <w:highlight w:val="none"/>
        </w:rPr>
        <w:t>建设，充分发挥</w:t>
      </w:r>
      <w:r>
        <w:rPr>
          <w:rFonts w:hint="eastAsia"/>
          <w:highlight w:val="none"/>
          <w:lang w:val="en-US" w:eastAsia="zh-CN"/>
        </w:rPr>
        <w:t>彰武</w:t>
      </w:r>
      <w:r>
        <w:rPr>
          <w:rFonts w:hint="eastAsia"/>
          <w:highlight w:val="none"/>
        </w:rPr>
        <w:t>独特的区位交通优势，高起点定位、高规格谋划、高品质打造，极大地促进“一带一路”</w:t>
      </w:r>
      <w:r>
        <w:rPr>
          <w:rFonts w:hint="eastAsia"/>
          <w:highlight w:val="none"/>
          <w:lang w:eastAsia="zh-CN"/>
        </w:rPr>
        <w:t>倡议</w:t>
      </w:r>
      <w:r>
        <w:rPr>
          <w:rFonts w:hint="eastAsia"/>
          <w:highlight w:val="none"/>
        </w:rPr>
        <w:t>沿线国家和地区间经贸往来，全面提升开放型经济水平。积极对</w:t>
      </w:r>
      <w:r>
        <w:rPr>
          <w:rFonts w:hint="eastAsia"/>
          <w:highlight w:val="none"/>
          <w:lang w:eastAsia="zh-CN"/>
        </w:rPr>
        <w:t>中俄蒙</w:t>
      </w:r>
      <w:r>
        <w:rPr>
          <w:rFonts w:hint="eastAsia"/>
          <w:highlight w:val="none"/>
        </w:rPr>
        <w:t>经济走廊</w:t>
      </w:r>
      <w:r>
        <w:rPr>
          <w:rFonts w:hint="eastAsia"/>
          <w:highlight w:val="none"/>
          <w:lang w:eastAsia="zh-CN"/>
        </w:rPr>
        <w:t>、</w:t>
      </w:r>
      <w:r>
        <w:rPr>
          <w:rFonts w:hint="eastAsia"/>
          <w:highlight w:val="none"/>
          <w:lang w:val="en-US" w:eastAsia="zh-CN"/>
        </w:rPr>
        <w:t>沈阳都市圈</w:t>
      </w:r>
      <w:r>
        <w:rPr>
          <w:rFonts w:hint="eastAsia"/>
          <w:highlight w:val="none"/>
        </w:rPr>
        <w:t>一体化发展，大力推进区域物流产业分工和协同融合，建设物流一体化运作的空间布局，实现区域物流错位发展、优势互补、互利共赢，为服务</w:t>
      </w:r>
      <w:r>
        <w:rPr>
          <w:rFonts w:hint="eastAsia"/>
          <w:highlight w:val="none"/>
          <w:lang w:val="en-US" w:eastAsia="zh-CN"/>
        </w:rPr>
        <w:t>沈阳都市圈</w:t>
      </w:r>
      <w:r>
        <w:rPr>
          <w:rFonts w:hint="eastAsia"/>
          <w:highlight w:val="none"/>
        </w:rPr>
        <w:t>建设和打造</w:t>
      </w:r>
      <w:r>
        <w:rPr>
          <w:rFonts w:hint="eastAsia"/>
          <w:highlight w:val="none"/>
          <w:lang w:val="en-US" w:eastAsia="zh-CN"/>
        </w:rPr>
        <w:t>北部</w:t>
      </w:r>
      <w:r>
        <w:rPr>
          <w:rFonts w:hint="eastAsia"/>
          <w:highlight w:val="none"/>
        </w:rPr>
        <w:t>物流</w:t>
      </w:r>
      <w:r>
        <w:rPr>
          <w:rFonts w:hint="eastAsia"/>
          <w:highlight w:val="none"/>
          <w:lang w:val="en-US" w:eastAsia="zh-CN"/>
        </w:rPr>
        <w:t>中心</w:t>
      </w:r>
      <w:r>
        <w:rPr>
          <w:rFonts w:hint="eastAsia"/>
          <w:highlight w:val="none"/>
        </w:rPr>
        <w:t>作出</w:t>
      </w:r>
      <w:r>
        <w:rPr>
          <w:rFonts w:hint="eastAsia"/>
          <w:highlight w:val="none"/>
          <w:lang w:val="en-US" w:eastAsia="zh-CN"/>
        </w:rPr>
        <w:t>彰武</w:t>
      </w:r>
      <w:r>
        <w:rPr>
          <w:rFonts w:hint="eastAsia"/>
          <w:highlight w:val="none"/>
        </w:rPr>
        <w:t>贡献。</w:t>
      </w:r>
    </w:p>
    <w:p w14:paraId="6A4B5432">
      <w:pPr>
        <w:bidi w:val="0"/>
        <w:rPr>
          <w:highlight w:val="none"/>
        </w:rPr>
      </w:pPr>
      <w:bookmarkStart w:id="80" w:name="_Toc4263"/>
      <w:r>
        <w:rPr>
          <w:rFonts w:hint="eastAsia"/>
          <w:highlight w:val="none"/>
        </w:rPr>
        <w:t>3、顺应城市发展规律，科学谋划产业集聚</w:t>
      </w:r>
      <w:bookmarkEnd w:id="80"/>
    </w:p>
    <w:p w14:paraId="58930D88">
      <w:pPr>
        <w:bidi w:val="0"/>
        <w:rPr>
          <w:highlight w:val="none"/>
        </w:rPr>
      </w:pPr>
      <w:r>
        <w:rPr>
          <w:rFonts w:hint="eastAsia"/>
          <w:highlight w:val="none"/>
        </w:rPr>
        <w:t>“</w:t>
      </w:r>
      <w:r>
        <w:rPr>
          <w:rFonts w:hint="eastAsia"/>
          <w:highlight w:val="none"/>
          <w:lang w:val="en-US" w:eastAsia="zh-CN"/>
        </w:rPr>
        <w:t>一都一城三基地</w:t>
      </w:r>
      <w:r>
        <w:rPr>
          <w:rFonts w:hint="eastAsia"/>
          <w:highlight w:val="none"/>
        </w:rPr>
        <w:t>”加快建设，</w:t>
      </w:r>
      <w:r>
        <w:rPr>
          <w:rFonts w:hint="eastAsia"/>
          <w:highlight w:val="none"/>
          <w:lang w:val="en-US" w:eastAsia="zh-CN"/>
        </w:rPr>
        <w:t>打造</w:t>
      </w:r>
      <w:r>
        <w:rPr>
          <w:rFonts w:hint="eastAsia"/>
          <w:highlight w:val="none"/>
        </w:rPr>
        <w:t>一体化发展，现代物流业要与城市</w:t>
      </w:r>
      <w:r>
        <w:rPr>
          <w:rFonts w:hint="eastAsia"/>
          <w:highlight w:val="none"/>
          <w:lang w:val="en-US" w:eastAsia="zh-CN"/>
        </w:rPr>
        <w:t>国土空间总体规划</w:t>
      </w:r>
      <w:r>
        <w:rPr>
          <w:rFonts w:hint="eastAsia"/>
          <w:highlight w:val="none"/>
        </w:rPr>
        <w:t>相匹配，发展规模与城市开拓相协调，空间布局与城镇空间格局相融合。综合考虑</w:t>
      </w:r>
      <w:r>
        <w:rPr>
          <w:rFonts w:hint="eastAsia"/>
          <w:highlight w:val="none"/>
          <w:lang w:eastAsia="zh-CN"/>
        </w:rPr>
        <w:t>彰武县</w:t>
      </w:r>
      <w:r>
        <w:rPr>
          <w:rFonts w:hint="eastAsia"/>
          <w:highlight w:val="none"/>
        </w:rPr>
        <w:t>各产业发展定位与重点，科学划分物流发展空间结构，促进和引导物流产业整合与集中发展，物流设施节点与通道布局与城镇组团、工业</w:t>
      </w:r>
      <w:r>
        <w:rPr>
          <w:rFonts w:hint="eastAsia"/>
          <w:highlight w:val="none"/>
          <w:lang w:eastAsia="zh-CN"/>
        </w:rPr>
        <w:t>中心</w:t>
      </w:r>
      <w:r>
        <w:rPr>
          <w:rFonts w:hint="eastAsia"/>
          <w:highlight w:val="none"/>
        </w:rPr>
        <w:t>布局、商贸聚集区相配套。以物流带动产业的聚集与合理分工，以物流推动特色商贸业的发展，打造与城市产业联动发展、区域布局功能错位的物流产业空间格局。</w:t>
      </w:r>
    </w:p>
    <w:p w14:paraId="7EAFBAC7">
      <w:pPr>
        <w:bidi w:val="0"/>
        <w:rPr>
          <w:highlight w:val="none"/>
        </w:rPr>
      </w:pPr>
      <w:bookmarkStart w:id="81" w:name="_Toc18357"/>
      <w:r>
        <w:rPr>
          <w:rFonts w:hint="eastAsia"/>
          <w:highlight w:val="none"/>
        </w:rPr>
        <w:t>4、整合优化资源配置，合理规划节点布局</w:t>
      </w:r>
      <w:bookmarkEnd w:id="81"/>
    </w:p>
    <w:p w14:paraId="0EEBA74A">
      <w:pPr>
        <w:bidi w:val="0"/>
        <w:rPr>
          <w:highlight w:val="none"/>
        </w:rPr>
      </w:pPr>
      <w:r>
        <w:rPr>
          <w:rFonts w:hint="eastAsia"/>
          <w:highlight w:val="none"/>
        </w:rPr>
        <w:t>坚持物流资源存量整合与增量优化相并行。利用城市内部流通节点等存量资源</w:t>
      </w:r>
      <w:r>
        <w:rPr>
          <w:rFonts w:hint="eastAsia"/>
          <w:highlight w:val="none"/>
          <w:lang w:eastAsia="zh-CN"/>
        </w:rPr>
        <w:t>，</w:t>
      </w:r>
      <w:r>
        <w:rPr>
          <w:rFonts w:hint="eastAsia"/>
          <w:highlight w:val="none"/>
        </w:rPr>
        <w:t>拓展城市物流配送功能，提高</w:t>
      </w:r>
      <w:r>
        <w:rPr>
          <w:rFonts w:hint="eastAsia"/>
          <w:highlight w:val="none"/>
          <w:lang w:val="en-US" w:eastAsia="zh-CN"/>
        </w:rPr>
        <w:t>彰武县</w:t>
      </w:r>
      <w:r>
        <w:rPr>
          <w:rFonts w:hint="eastAsia"/>
          <w:highlight w:val="none"/>
        </w:rPr>
        <w:t>物流仓储用地的要素配置效率和投资强度、产出率，促进物流业发展方式转变和结构优化升级。结合区域定位以及物流需求，有效改造或拓展城市已有流通节点的物流服务功能；综合考虑货运交通</w:t>
      </w:r>
      <w:r>
        <w:rPr>
          <w:rFonts w:hint="eastAsia"/>
          <w:highlight w:val="none"/>
          <w:lang w:val="en-US" w:eastAsia="zh-CN"/>
        </w:rPr>
        <w:t>中心</w:t>
      </w:r>
      <w:r>
        <w:rPr>
          <w:rFonts w:hint="eastAsia"/>
          <w:highlight w:val="none"/>
        </w:rPr>
        <w:t>设施的集约利用、可持续发展以及与城市集疏运体系的有机融合</w:t>
      </w:r>
      <w:r>
        <w:rPr>
          <w:rFonts w:hint="eastAsia"/>
          <w:highlight w:val="none"/>
          <w:lang w:eastAsia="zh-CN"/>
        </w:rPr>
        <w:t>，在</w:t>
      </w:r>
      <w:r>
        <w:rPr>
          <w:rFonts w:hint="eastAsia"/>
          <w:highlight w:val="none"/>
        </w:rPr>
        <w:t>有条件的区域合理新增或预留物流仓储用地以布局物流节点，科学规划新增节点的发展定位与功能，建立集约化、专业化、高效化的物流运作体系。</w:t>
      </w:r>
    </w:p>
    <w:p w14:paraId="135CC9C9">
      <w:pPr>
        <w:pStyle w:val="3"/>
        <w:bidi w:val="0"/>
        <w:rPr>
          <w:rFonts w:hint="default"/>
          <w:highlight w:val="none"/>
          <w:lang w:val="en-US" w:eastAsia="zh-CN"/>
        </w:rPr>
      </w:pPr>
      <w:bookmarkStart w:id="82" w:name="_Toc12024"/>
      <w:bookmarkStart w:id="83" w:name="_Toc7585"/>
      <w:bookmarkStart w:id="84" w:name="_Toc2876"/>
      <w:r>
        <w:rPr>
          <w:rFonts w:hint="eastAsia"/>
          <w:highlight w:val="none"/>
          <w:lang w:val="en-US" w:eastAsia="zh-CN"/>
        </w:rPr>
        <w:t>影响因素</w:t>
      </w:r>
      <w:bookmarkEnd w:id="82"/>
      <w:bookmarkEnd w:id="83"/>
      <w:bookmarkEnd w:id="84"/>
    </w:p>
    <w:p w14:paraId="71925943">
      <w:pPr>
        <w:pStyle w:val="4"/>
        <w:bidi w:val="0"/>
        <w:rPr>
          <w:highlight w:val="none"/>
        </w:rPr>
      </w:pPr>
      <w:bookmarkStart w:id="85" w:name="_Toc11735"/>
      <w:r>
        <w:rPr>
          <w:rFonts w:hint="eastAsia"/>
          <w:highlight w:val="none"/>
        </w:rPr>
        <w:t>国土空间规划要求</w:t>
      </w:r>
      <w:bookmarkEnd w:id="85"/>
    </w:p>
    <w:p w14:paraId="570230BD">
      <w:pPr>
        <w:bidi w:val="0"/>
      </w:pPr>
      <w:r>
        <w:rPr>
          <w:rFonts w:hint="eastAsia"/>
        </w:rPr>
        <w:t>物流节点</w:t>
      </w:r>
      <w:r>
        <w:rPr>
          <w:rFonts w:hint="eastAsia"/>
          <w:lang w:eastAsia="zh-CN"/>
        </w:rPr>
        <w:t>中心</w:t>
      </w:r>
      <w:r>
        <w:rPr>
          <w:rFonts w:hint="eastAsia"/>
        </w:rPr>
        <w:t>应当集约节约高效利用土地，符合</w:t>
      </w:r>
      <w:r>
        <w:rPr>
          <w:rFonts w:hint="eastAsia"/>
          <w:lang w:val="en-US" w:eastAsia="zh-CN"/>
        </w:rPr>
        <w:t>国土空间总体规划</w:t>
      </w:r>
      <w:r>
        <w:rPr>
          <w:rFonts w:hint="eastAsia"/>
        </w:rPr>
        <w:t>等对土地性质、使用功能的要求，同时注重城市空间拓展、区域产业布局和结构调整等长远规划对项目地块的影响，防止出现由于用地性质调整、产业转移、交通项目调整等可能导致的项目搬迁、功能不足等问题。</w:t>
      </w:r>
    </w:p>
    <w:p w14:paraId="08AD7B83">
      <w:pPr>
        <w:pStyle w:val="4"/>
        <w:bidi w:val="0"/>
        <w:rPr>
          <w:highlight w:val="none"/>
        </w:rPr>
      </w:pPr>
      <w:bookmarkStart w:id="86" w:name="_Toc17781"/>
      <w:r>
        <w:rPr>
          <w:rFonts w:hint="eastAsia"/>
          <w:highlight w:val="none"/>
        </w:rPr>
        <w:t>经济产业布局</w:t>
      </w:r>
      <w:bookmarkEnd w:id="86"/>
    </w:p>
    <w:p w14:paraId="74A78150">
      <w:pPr>
        <w:bidi w:val="0"/>
      </w:pPr>
      <w:r>
        <w:rPr>
          <w:rFonts w:hint="eastAsia"/>
          <w:lang w:val="en-US" w:eastAsia="zh-CN"/>
        </w:rPr>
        <w:t>彰武</w:t>
      </w:r>
      <w:bookmarkStart w:id="87" w:name="OLE_LINK3"/>
      <w:r>
        <w:rPr>
          <w:rFonts w:hint="eastAsia"/>
        </w:rPr>
        <w:t>着力构建“</w:t>
      </w:r>
      <w:r>
        <w:rPr>
          <w:rFonts w:hint="eastAsia"/>
          <w:lang w:val="en-US" w:eastAsia="zh-CN"/>
        </w:rPr>
        <w:t>一都一城三基地</w:t>
      </w:r>
      <w:r>
        <w:rPr>
          <w:rFonts w:hint="eastAsia"/>
        </w:rPr>
        <w:t>”</w:t>
      </w:r>
      <w:bookmarkEnd w:id="87"/>
      <w:r>
        <w:rPr>
          <w:rFonts w:hint="eastAsia"/>
        </w:rPr>
        <w:t>的</w:t>
      </w:r>
      <w:r>
        <w:rPr>
          <w:rFonts w:hint="eastAsia"/>
          <w:lang w:val="en-US" w:eastAsia="zh-CN"/>
        </w:rPr>
        <w:t>发展定位</w:t>
      </w:r>
      <w:r>
        <w:rPr>
          <w:rFonts w:hint="eastAsia"/>
        </w:rPr>
        <w:t>，即一个中国砂都、一个生态屏障城、</w:t>
      </w:r>
      <w:r>
        <w:rPr>
          <w:rFonts w:hint="eastAsia"/>
          <w:lang w:val="en-US" w:eastAsia="zh-CN"/>
        </w:rPr>
        <w:t>三</w:t>
      </w:r>
      <w:r>
        <w:rPr>
          <w:rFonts w:hint="eastAsia"/>
        </w:rPr>
        <w:t>个</w:t>
      </w:r>
      <w:r>
        <w:rPr>
          <w:rFonts w:hint="eastAsia"/>
          <w:lang w:val="en-US" w:eastAsia="zh-CN"/>
        </w:rPr>
        <w:t>特色产业基地</w:t>
      </w:r>
      <w:r>
        <w:rPr>
          <w:rFonts w:hint="eastAsia"/>
        </w:rPr>
        <w:t>。中国砂都</w:t>
      </w:r>
      <w:r>
        <w:rPr>
          <w:rFonts w:hint="eastAsia"/>
          <w:lang w:val="en-US" w:eastAsia="zh-CN"/>
        </w:rPr>
        <w:t>要</w:t>
      </w:r>
      <w:r>
        <w:rPr>
          <w:rFonts w:hint="eastAsia"/>
        </w:rPr>
        <w:t>建成国家硅砂产业基地、国家铸造业创新先行区、国家硅砂产业交往中心、硅砂产业创新引领区和百亿级硅砂工业集群。生态屏障城</w:t>
      </w:r>
      <w:r>
        <w:rPr>
          <w:rFonts w:hint="eastAsia"/>
          <w:lang w:val="en-US" w:eastAsia="zh-CN"/>
        </w:rPr>
        <w:t>要</w:t>
      </w:r>
      <w:r>
        <w:rPr>
          <w:rFonts w:hint="eastAsia"/>
        </w:rPr>
        <w:t>深化实施彰武草原生态恢复示范区建设，进行柳河和养息牧河流域综合治理，建设滨河景观带和生态湿地，打造水岸城市，构建蓝绿交织的生态安全格局。</w:t>
      </w:r>
      <w:r>
        <w:rPr>
          <w:rFonts w:hint="eastAsia"/>
          <w:lang w:val="en-US" w:eastAsia="zh-CN"/>
        </w:rPr>
        <w:t>三基地分别为承接京津冀产业转移基地、绿色食品基地、新能源产业基地。绿色食品基地立足农副产品资源优势和产业基础，以培育壮大特色沙农业为主线，推动农副产品深加工产业向绿色食品发展，建设沈阳现代化都市圈大厨房。新能源产业基地建设沈阳现代化都市圈电力能源基地，加快实施新能源项目延链、补链、强链工程，打造彰武新能源产业链闭环。承接京津冀产业转移基地积极融入京津冀协同发展战略，全力打造承接京津产业转移承载地，助推经济发展。大力承接京津冀产业转移和非首都功能疏解。</w:t>
      </w:r>
      <w:r>
        <w:rPr>
          <w:rFonts w:hint="eastAsia"/>
        </w:rPr>
        <w:t>项目选址应与当地产业结构、布局等统筹考虑，同时兼顾产业链上下游供应商、货主客户的分布。</w:t>
      </w:r>
    </w:p>
    <w:p w14:paraId="607FD843">
      <w:pPr>
        <w:pStyle w:val="4"/>
        <w:bidi w:val="0"/>
        <w:rPr>
          <w:highlight w:val="none"/>
        </w:rPr>
      </w:pPr>
      <w:bookmarkStart w:id="88" w:name="_Toc27481"/>
      <w:r>
        <w:rPr>
          <w:rFonts w:hint="eastAsia"/>
          <w:highlight w:val="none"/>
        </w:rPr>
        <w:t>主要货源</w:t>
      </w:r>
      <w:r>
        <w:rPr>
          <w:rFonts w:hint="eastAsia"/>
          <w:highlight w:val="none"/>
          <w:lang w:val="en-US" w:eastAsia="zh-CN"/>
        </w:rPr>
        <w:t>产品</w:t>
      </w:r>
      <w:bookmarkEnd w:id="88"/>
    </w:p>
    <w:p w14:paraId="03FC8387">
      <w:pPr>
        <w:bidi w:val="0"/>
        <w:rPr>
          <w:rFonts w:hint="eastAsia"/>
        </w:rPr>
      </w:pPr>
      <w:r>
        <w:rPr>
          <w:rFonts w:hint="eastAsia"/>
          <w:lang w:eastAsia="zh-CN"/>
        </w:rPr>
        <w:t>彰武县</w:t>
      </w:r>
      <w:r>
        <w:rPr>
          <w:rFonts w:hint="eastAsia"/>
        </w:rPr>
        <w:t>主要货源集中在以下几个方面：一是工业企业的原材料和产成品的运输产生的运输需求，重点考虑</w:t>
      </w:r>
      <w:r>
        <w:rPr>
          <w:rFonts w:hint="eastAsia"/>
          <w:lang w:val="en-US" w:eastAsia="zh-CN"/>
        </w:rPr>
        <w:t>硅砂</w:t>
      </w:r>
      <w:r>
        <w:rPr>
          <w:rFonts w:hint="eastAsia"/>
        </w:rPr>
        <w:t>、</w:t>
      </w:r>
      <w:r>
        <w:rPr>
          <w:rFonts w:hint="eastAsia"/>
          <w:lang w:val="en-US" w:eastAsia="zh-CN"/>
        </w:rPr>
        <w:t>北部</w:t>
      </w:r>
      <w:r>
        <w:rPr>
          <w:rFonts w:hint="eastAsia"/>
        </w:rPr>
        <w:t>开发区等工业企业的集中区域；二是由商流产生的物流需求，重点考虑</w:t>
      </w:r>
      <w:r>
        <w:rPr>
          <w:rFonts w:hint="eastAsia"/>
          <w:lang w:val="en-US" w:eastAsia="zh-CN"/>
        </w:rPr>
        <w:t>城内</w:t>
      </w:r>
      <w:r>
        <w:rPr>
          <w:rFonts w:hint="eastAsia"/>
        </w:rPr>
        <w:t>大型批发市场</w:t>
      </w:r>
      <w:r>
        <w:rPr>
          <w:rFonts w:hint="eastAsia"/>
          <w:lang w:val="en-US" w:eastAsia="zh-CN"/>
        </w:rPr>
        <w:t>及农村果蔬</w:t>
      </w:r>
      <w:r>
        <w:rPr>
          <w:rFonts w:hint="eastAsia"/>
        </w:rPr>
        <w:t>集中区域；三是不同运输方式转运产生的货运需求，重点考虑铁路与公路货运站的衔接。具有充足的货源和货物储运的需求是货运</w:t>
      </w:r>
      <w:r>
        <w:rPr>
          <w:rFonts w:hint="eastAsia"/>
          <w:lang w:val="en-US" w:eastAsia="zh-CN"/>
        </w:rPr>
        <w:t>中心</w:t>
      </w:r>
      <w:r>
        <w:rPr>
          <w:rFonts w:hint="eastAsia"/>
        </w:rPr>
        <w:t>存在的基础，因此，</w:t>
      </w:r>
      <w:r>
        <w:rPr>
          <w:rFonts w:hint="eastAsia"/>
          <w:lang w:val="en-US" w:eastAsia="zh-CN"/>
        </w:rPr>
        <w:t>彰武县</w:t>
      </w:r>
      <w:r>
        <w:rPr>
          <w:rFonts w:hint="eastAsia"/>
        </w:rPr>
        <w:t>物流节点</w:t>
      </w:r>
      <w:r>
        <w:rPr>
          <w:rFonts w:hint="eastAsia"/>
          <w:lang w:eastAsia="zh-CN"/>
        </w:rPr>
        <w:t>中心</w:t>
      </w:r>
      <w:r>
        <w:rPr>
          <w:rFonts w:hint="eastAsia"/>
        </w:rPr>
        <w:t>的布局宜靠近城市的大型工业</w:t>
      </w:r>
      <w:r>
        <w:rPr>
          <w:rFonts w:hint="eastAsia"/>
          <w:lang w:eastAsia="zh-CN"/>
        </w:rPr>
        <w:t>中心</w:t>
      </w:r>
      <w:r>
        <w:rPr>
          <w:rFonts w:hint="eastAsia"/>
        </w:rPr>
        <w:t>、</w:t>
      </w:r>
      <w:r>
        <w:rPr>
          <w:rFonts w:hint="eastAsia"/>
          <w:lang w:eastAsia="zh-CN"/>
        </w:rPr>
        <w:t>商业</w:t>
      </w:r>
      <w:r>
        <w:rPr>
          <w:rFonts w:hint="eastAsia"/>
        </w:rPr>
        <w:t>企业聚集区、交易市场、不同运输方式枢纽站场等主要货源地，并且根据主要货运需求定位</w:t>
      </w:r>
      <w:r>
        <w:rPr>
          <w:rFonts w:hint="eastAsia"/>
          <w:lang w:eastAsia="zh-CN"/>
        </w:rPr>
        <w:t>中心</w:t>
      </w:r>
      <w:r>
        <w:rPr>
          <w:rFonts w:hint="eastAsia"/>
        </w:rPr>
        <w:t>类型和主要功能。</w:t>
      </w:r>
    </w:p>
    <w:p w14:paraId="41E506E7">
      <w:pPr>
        <w:pStyle w:val="11"/>
        <w:bidi w:val="0"/>
        <w:rPr>
          <w:rFonts w:hint="default" w:eastAsia="仿宋_GB2312"/>
          <w:highlight w:val="none"/>
          <w:lang w:val="en-US" w:eastAsia="zh-CN"/>
        </w:rPr>
      </w:pPr>
      <w:r>
        <w:t xml:space="preserve">表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表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彰武物流产品表</w:t>
      </w:r>
    </w:p>
    <w:tbl>
      <w:tblPr>
        <w:tblStyle w:val="20"/>
        <w:tblW w:w="4999"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141"/>
        <w:gridCol w:w="6471"/>
      </w:tblGrid>
      <w:tr w14:paraId="1E9D7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tblCellSpacing w:w="0" w:type="dxa"/>
        </w:trPr>
        <w:tc>
          <w:tcPr>
            <w:tcW w:w="1243" w:type="pct"/>
            <w:tcBorders>
              <w:top w:val="single" w:color="FFFFFF" w:sz="4" w:space="0"/>
              <w:left w:val="single" w:color="FFFFFF" w:sz="4" w:space="0"/>
              <w:bottom w:val="single" w:color="FFFFFF" w:sz="12" w:space="0"/>
              <w:right w:val="single" w:color="FFFFFF" w:sz="4" w:space="0"/>
            </w:tcBorders>
            <w:shd w:val="clear" w:color="auto" w:fill="297B8E"/>
            <w:tcMar>
              <w:top w:w="72" w:type="dxa"/>
              <w:left w:w="144" w:type="dxa"/>
              <w:bottom w:w="72" w:type="dxa"/>
              <w:right w:w="144" w:type="dxa"/>
            </w:tcMar>
            <w:vAlign w:val="center"/>
          </w:tcPr>
          <w:p w14:paraId="28AFB23D">
            <w:pPr>
              <w:pStyle w:val="25"/>
              <w:bidi w:val="0"/>
              <w:rPr>
                <w:color w:val="auto"/>
                <w:highlight w:val="none"/>
              </w:rPr>
            </w:pPr>
            <w:r>
              <w:rPr>
                <w:b w:val="0"/>
                <w:bCs/>
                <w:highlight w:val="none"/>
              </w:rPr>
              <w:t>工业类别</w:t>
            </w:r>
          </w:p>
        </w:tc>
        <w:tc>
          <w:tcPr>
            <w:tcW w:w="3756" w:type="pct"/>
            <w:tcBorders>
              <w:top w:val="single" w:color="FFFFFF" w:sz="4" w:space="0"/>
              <w:left w:val="single" w:color="FFFFFF" w:sz="4" w:space="0"/>
              <w:bottom w:val="single" w:color="FFFFFF" w:sz="12" w:space="0"/>
              <w:right w:val="single" w:color="FFFFFF" w:sz="4" w:space="0"/>
            </w:tcBorders>
            <w:shd w:val="clear" w:color="auto" w:fill="297B8E"/>
            <w:tcMar>
              <w:top w:w="72" w:type="dxa"/>
              <w:left w:w="144" w:type="dxa"/>
              <w:bottom w:w="72" w:type="dxa"/>
              <w:right w:w="144" w:type="dxa"/>
            </w:tcMar>
            <w:vAlign w:val="center"/>
          </w:tcPr>
          <w:p w14:paraId="50F57D80">
            <w:pPr>
              <w:pStyle w:val="25"/>
              <w:bidi w:val="0"/>
              <w:rPr>
                <w:color w:val="auto"/>
                <w:highlight w:val="none"/>
              </w:rPr>
            </w:pPr>
            <w:r>
              <w:rPr>
                <w:rFonts w:hint="eastAsia"/>
                <w:b w:val="0"/>
                <w:bCs/>
                <w:highlight w:val="none"/>
              </w:rPr>
              <w:t>产品内容</w:t>
            </w:r>
          </w:p>
        </w:tc>
      </w:tr>
      <w:tr w14:paraId="3825C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20" w:hRule="atLeast"/>
          <w:tblCellSpacing w:w="0" w:type="dxa"/>
        </w:trPr>
        <w:tc>
          <w:tcPr>
            <w:tcW w:w="1243" w:type="pct"/>
            <w:tcBorders>
              <w:top w:val="single" w:color="FFFFFF" w:sz="4" w:space="0"/>
              <w:left w:val="single" w:color="FFFFFF" w:sz="4" w:space="0"/>
              <w:bottom w:val="single" w:color="FFFFFF" w:sz="12" w:space="0"/>
              <w:right w:val="single" w:color="FFFFFF" w:sz="4" w:space="0"/>
            </w:tcBorders>
            <w:shd w:val="clear" w:color="auto" w:fill="CDD7DB"/>
            <w:tcMar>
              <w:top w:w="72" w:type="dxa"/>
              <w:left w:w="144" w:type="dxa"/>
              <w:bottom w:w="72" w:type="dxa"/>
              <w:right w:w="144" w:type="dxa"/>
            </w:tcMar>
            <w:vAlign w:val="center"/>
          </w:tcPr>
          <w:p w14:paraId="0314126E">
            <w:pPr>
              <w:pStyle w:val="25"/>
              <w:bidi w:val="0"/>
              <w:rPr>
                <w:color w:val="auto"/>
                <w:highlight w:val="none"/>
              </w:rPr>
            </w:pPr>
            <w:r>
              <w:rPr>
                <w:rFonts w:hint="eastAsia"/>
                <w:b w:val="0"/>
                <w:bCs/>
                <w:highlight w:val="none"/>
              </w:rPr>
              <w:t>硅砂工业</w:t>
            </w:r>
          </w:p>
        </w:tc>
        <w:tc>
          <w:tcPr>
            <w:tcW w:w="3756" w:type="pct"/>
            <w:tcBorders>
              <w:top w:val="single" w:color="FFFFFF" w:sz="4" w:space="0"/>
              <w:left w:val="single" w:color="FFFFFF" w:sz="4" w:space="0"/>
              <w:bottom w:val="single" w:color="FFFFFF" w:sz="12" w:space="0"/>
              <w:right w:val="single" w:color="FFFFFF" w:sz="4" w:space="0"/>
            </w:tcBorders>
            <w:shd w:val="clear" w:color="auto" w:fill="CDD7DB"/>
            <w:tcMar>
              <w:top w:w="72" w:type="dxa"/>
              <w:left w:w="144" w:type="dxa"/>
              <w:bottom w:w="72" w:type="dxa"/>
              <w:right w:w="144" w:type="dxa"/>
            </w:tcMar>
            <w:vAlign w:val="center"/>
          </w:tcPr>
          <w:p w14:paraId="3A093103">
            <w:pPr>
              <w:pStyle w:val="25"/>
              <w:bidi w:val="0"/>
              <w:rPr>
                <w:color w:val="auto"/>
                <w:highlight w:val="none"/>
              </w:rPr>
            </w:pPr>
            <w:r>
              <w:rPr>
                <w:rFonts w:hint="eastAsia"/>
                <w:b w:val="0"/>
                <w:bCs/>
                <w:highlight w:val="none"/>
              </w:rPr>
              <w:t>硅砂深加工（消失模砂、级配砂、混合砂等特种精品砂系列产品；高强度低发气覆膜砂、耐高温覆膜砂、耐高温低膨胀低发气覆膜砂、铸铁易溃散覆膜砂、非铁合金易溃散覆膜砂、湿态覆膜砂、离心铸造覆膜砂、特种覆膜砂等高端产品）、装备制造及配套、高端建材（真石漆、陶化彩砂、装配式住房、高强度防火保温复合板、彩陶砂岩板、防爆板、环保墙饰、保温防腐涂料）、机加工、汽车零部件等汽车配套产业</w:t>
            </w:r>
          </w:p>
        </w:tc>
      </w:tr>
      <w:tr w14:paraId="58B68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0" w:hRule="atLeast"/>
          <w:tblCellSpacing w:w="0" w:type="dxa"/>
        </w:trPr>
        <w:tc>
          <w:tcPr>
            <w:tcW w:w="1243" w:type="pct"/>
            <w:tcBorders>
              <w:top w:val="single" w:color="FFFFFF" w:sz="4" w:space="0"/>
              <w:left w:val="single" w:color="FFFFFF" w:sz="4" w:space="0"/>
              <w:bottom w:val="single" w:color="FFFFFF" w:sz="12" w:space="0"/>
              <w:right w:val="single" w:color="FFFFFF" w:sz="4" w:space="0"/>
            </w:tcBorders>
            <w:shd w:val="clear" w:color="auto" w:fill="E8ECEE"/>
            <w:tcMar>
              <w:top w:w="72" w:type="dxa"/>
              <w:left w:w="144" w:type="dxa"/>
              <w:bottom w:w="72" w:type="dxa"/>
              <w:right w:w="144" w:type="dxa"/>
            </w:tcMar>
            <w:vAlign w:val="center"/>
          </w:tcPr>
          <w:p w14:paraId="4401894D">
            <w:pPr>
              <w:pStyle w:val="25"/>
              <w:bidi w:val="0"/>
              <w:rPr>
                <w:color w:val="auto"/>
                <w:highlight w:val="none"/>
              </w:rPr>
            </w:pPr>
            <w:r>
              <w:rPr>
                <w:rFonts w:hint="eastAsia"/>
                <w:b w:val="0"/>
                <w:bCs/>
                <w:highlight w:val="none"/>
              </w:rPr>
              <w:t>绿色食品</w:t>
            </w:r>
          </w:p>
        </w:tc>
        <w:tc>
          <w:tcPr>
            <w:tcW w:w="3756" w:type="pct"/>
            <w:tcBorders>
              <w:top w:val="single" w:color="FFFFFF" w:sz="4" w:space="0"/>
              <w:left w:val="single" w:color="FFFFFF" w:sz="4" w:space="0"/>
              <w:bottom w:val="single" w:color="FFFFFF" w:sz="12" w:space="0"/>
              <w:right w:val="single" w:color="FFFFFF" w:sz="4" w:space="0"/>
            </w:tcBorders>
            <w:shd w:val="clear" w:color="auto" w:fill="E8ECEE"/>
            <w:tcMar>
              <w:top w:w="72" w:type="dxa"/>
              <w:left w:w="144" w:type="dxa"/>
              <w:bottom w:w="72" w:type="dxa"/>
              <w:right w:w="144" w:type="dxa"/>
            </w:tcMar>
            <w:vAlign w:val="center"/>
          </w:tcPr>
          <w:p w14:paraId="225617D2">
            <w:pPr>
              <w:pStyle w:val="25"/>
              <w:bidi w:val="0"/>
              <w:rPr>
                <w:color w:val="auto"/>
                <w:highlight w:val="none"/>
              </w:rPr>
            </w:pPr>
            <w:r>
              <w:rPr>
                <w:rFonts w:hint="eastAsia"/>
                <w:b w:val="0"/>
                <w:bCs/>
                <w:highlight w:val="none"/>
              </w:rPr>
              <w:t>花生、粮食、畜禽、果蔬、中药材等加工；生猪屠宰和熟食制品加工等为主的畜产品加工；干果加工</w:t>
            </w:r>
            <w:r>
              <w:rPr>
                <w:rFonts w:hint="eastAsia"/>
                <w:b w:val="0"/>
                <w:bCs/>
                <w:highlight w:val="none"/>
                <w:lang w:eastAsia="zh-CN"/>
              </w:rPr>
              <w:t>；开</w:t>
            </w:r>
            <w:r>
              <w:rPr>
                <w:rFonts w:hint="eastAsia"/>
                <w:b w:val="0"/>
                <w:bCs/>
                <w:highlight w:val="none"/>
              </w:rPr>
              <w:t>展粮食加工及流通、饮料及饮用水加工、双汇生猪肉鸡全产业链项目、新希望生猪全产业链项目</w:t>
            </w:r>
          </w:p>
        </w:tc>
      </w:tr>
      <w:tr w14:paraId="103B7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0" w:hRule="atLeast"/>
          <w:tblCellSpacing w:w="0" w:type="dxa"/>
        </w:trPr>
        <w:tc>
          <w:tcPr>
            <w:tcW w:w="1243" w:type="pct"/>
            <w:tcBorders>
              <w:top w:val="single" w:color="FFFFFF" w:sz="4" w:space="0"/>
              <w:left w:val="single" w:color="FFFFFF" w:sz="4" w:space="0"/>
              <w:bottom w:val="single" w:color="FFFFFF" w:sz="12" w:space="0"/>
              <w:right w:val="single" w:color="FFFFFF" w:sz="4" w:space="0"/>
            </w:tcBorders>
            <w:shd w:val="clear" w:color="auto" w:fill="CDD7DB"/>
            <w:tcMar>
              <w:top w:w="72" w:type="dxa"/>
              <w:left w:w="144" w:type="dxa"/>
              <w:bottom w:w="72" w:type="dxa"/>
              <w:right w:w="144" w:type="dxa"/>
            </w:tcMar>
            <w:vAlign w:val="center"/>
          </w:tcPr>
          <w:p w14:paraId="6232D6BD">
            <w:pPr>
              <w:pStyle w:val="25"/>
              <w:bidi w:val="0"/>
              <w:rPr>
                <w:color w:val="auto"/>
                <w:highlight w:val="none"/>
              </w:rPr>
            </w:pPr>
            <w:r>
              <w:rPr>
                <w:rFonts w:hint="eastAsia"/>
                <w:b w:val="0"/>
                <w:bCs/>
                <w:highlight w:val="none"/>
              </w:rPr>
              <w:t>新能源</w:t>
            </w:r>
          </w:p>
        </w:tc>
        <w:tc>
          <w:tcPr>
            <w:tcW w:w="3756" w:type="pct"/>
            <w:tcBorders>
              <w:top w:val="single" w:color="FFFFFF" w:sz="4" w:space="0"/>
              <w:left w:val="single" w:color="FFFFFF" w:sz="4" w:space="0"/>
              <w:bottom w:val="single" w:color="FFFFFF" w:sz="12" w:space="0"/>
              <w:right w:val="single" w:color="FFFFFF" w:sz="4" w:space="0"/>
            </w:tcBorders>
            <w:shd w:val="clear" w:color="auto" w:fill="CDD7DB"/>
            <w:tcMar>
              <w:top w:w="72" w:type="dxa"/>
              <w:left w:w="144" w:type="dxa"/>
              <w:bottom w:w="72" w:type="dxa"/>
              <w:right w:w="144" w:type="dxa"/>
            </w:tcMar>
            <w:vAlign w:val="center"/>
          </w:tcPr>
          <w:p w14:paraId="54B82EC5">
            <w:pPr>
              <w:pStyle w:val="25"/>
              <w:bidi w:val="0"/>
              <w:rPr>
                <w:color w:val="auto"/>
                <w:highlight w:val="none"/>
              </w:rPr>
            </w:pPr>
            <w:r>
              <w:rPr>
                <w:rFonts w:hint="eastAsia"/>
                <w:b w:val="0"/>
                <w:bCs/>
                <w:highlight w:val="none"/>
              </w:rPr>
              <w:t>推进风电规模化发展；集中式与分布式光伏发电项目，大力推广工商业分布式光伏发电项目建设；与金风科技合作联系，引进叶片生产项目；与大金重工开展深度合作，引进塔筒生产项目；积极引进发电机、齿轮箱、电缆及变流器生产项目；</w:t>
            </w:r>
          </w:p>
        </w:tc>
      </w:tr>
    </w:tbl>
    <w:p w14:paraId="482F7B9C">
      <w:pPr>
        <w:pStyle w:val="4"/>
        <w:bidi w:val="0"/>
        <w:rPr>
          <w:highlight w:val="none"/>
        </w:rPr>
      </w:pPr>
      <w:bookmarkStart w:id="89" w:name="_Toc30502"/>
      <w:r>
        <w:rPr>
          <w:rFonts w:hint="eastAsia"/>
          <w:highlight w:val="none"/>
        </w:rPr>
        <w:t>对外交通路网布局</w:t>
      </w:r>
      <w:bookmarkEnd w:id="89"/>
    </w:p>
    <w:p w14:paraId="35823E4A">
      <w:pPr>
        <w:bidi w:val="0"/>
        <w:rPr>
          <w:rFonts w:hint="default" w:eastAsia="仿宋_GB2312"/>
          <w:lang w:val="en-US" w:eastAsia="zh-CN"/>
        </w:rPr>
      </w:pPr>
      <w:r>
        <w:rPr>
          <w:rFonts w:hint="eastAsia"/>
        </w:rPr>
        <w:t>交通运输条件是物流</w:t>
      </w:r>
      <w:r>
        <w:rPr>
          <w:rFonts w:hint="eastAsia"/>
          <w:lang w:eastAsia="zh-CN"/>
        </w:rPr>
        <w:t>中心</w:t>
      </w:r>
      <w:r>
        <w:rPr>
          <w:rFonts w:hint="eastAsia"/>
        </w:rPr>
        <w:t>项目的重要基础和支撑。应重点关注项目周边的干线运输通道、对外门户枢纽是否基本形成，是否具备开展多式联运作业的条件，项目与干线通道之间的衔接条件，既有集散交通是否具有改造升级的条件以及对城市交通的影响等问题。因此，城市对外交通路网布局对物流节点布局</w:t>
      </w:r>
      <w:r>
        <w:rPr>
          <w:rFonts w:hint="eastAsia"/>
          <w:lang w:val="en-US" w:eastAsia="zh-CN"/>
        </w:rPr>
        <w:t>服务能力有较大提升。</w:t>
      </w:r>
    </w:p>
    <w:p w14:paraId="4D9E5B37">
      <w:pPr>
        <w:pStyle w:val="4"/>
        <w:bidi w:val="0"/>
        <w:rPr>
          <w:rFonts w:hint="eastAsia"/>
        </w:rPr>
      </w:pPr>
      <w:r>
        <w:rPr>
          <w:rFonts w:hint="eastAsia"/>
          <w:lang w:val="en-US" w:eastAsia="zh-CN"/>
        </w:rPr>
        <w:t>结论</w:t>
      </w:r>
    </w:p>
    <w:p w14:paraId="7BAA360A">
      <w:pPr>
        <w:rPr>
          <w:rFonts w:hint="default" w:eastAsia="仿宋_GB2312"/>
          <w:lang w:val="en-US" w:eastAsia="zh-CN"/>
        </w:rPr>
      </w:pPr>
      <w:r>
        <w:rPr>
          <w:rFonts w:hint="eastAsia"/>
          <w:lang w:val="en-US" w:eastAsia="zh-CN"/>
        </w:rPr>
        <w:t>经由国空对彰武县土地规划及未来发展方向的把控，明确了彰武硅砂工业、绿色食品以及新能源方面的产业发展优势，</w:t>
      </w:r>
      <w:r>
        <w:rPr>
          <w:rFonts w:hint="eastAsia"/>
        </w:rPr>
        <w:t>着力构建“</w:t>
      </w:r>
      <w:r>
        <w:rPr>
          <w:rFonts w:hint="eastAsia"/>
          <w:lang w:val="en-US" w:eastAsia="zh-CN"/>
        </w:rPr>
        <w:t>一都一城三基地</w:t>
      </w:r>
      <w:r>
        <w:rPr>
          <w:rFonts w:hint="eastAsia"/>
        </w:rPr>
        <w:t>”</w:t>
      </w:r>
      <w:r>
        <w:rPr>
          <w:rFonts w:hint="eastAsia"/>
          <w:lang w:val="en-US" w:eastAsia="zh-CN"/>
        </w:rPr>
        <w:t>发展格局，依托产业优势，发展城镇集中化物流，通过彰武县101、304国道、长深高速与新鲁高速“十字化走廊”交通优势，打造公铁联运交通格局，促进物流向新型高质量物流体系方向迈进，打造周边物流集散地。</w:t>
      </w:r>
    </w:p>
    <w:p w14:paraId="3BFF6D19">
      <w:pPr>
        <w:pStyle w:val="3"/>
        <w:spacing w:before="0" w:after="0" w:line="360" w:lineRule="auto"/>
        <w:rPr>
          <w:rFonts w:ascii="仿宋" w:hAnsi="仿宋" w:eastAsia="仿宋"/>
          <w:sz w:val="30"/>
          <w:szCs w:val="30"/>
          <w:highlight w:val="none"/>
        </w:rPr>
      </w:pPr>
      <w:bookmarkStart w:id="90" w:name="_Toc11253"/>
      <w:bookmarkStart w:id="91" w:name="_Toc29818"/>
      <w:bookmarkStart w:id="92" w:name="_Toc20548"/>
      <w:r>
        <w:rPr>
          <w:rFonts w:hint="eastAsia" w:ascii="仿宋" w:hAnsi="仿宋" w:eastAsia="仿宋"/>
          <w:sz w:val="30"/>
          <w:szCs w:val="30"/>
          <w:highlight w:val="none"/>
        </w:rPr>
        <w:t>空间布局</w:t>
      </w:r>
      <w:bookmarkEnd w:id="90"/>
      <w:bookmarkEnd w:id="91"/>
      <w:bookmarkEnd w:id="92"/>
    </w:p>
    <w:p w14:paraId="25BB7FEF">
      <w:pPr>
        <w:pStyle w:val="4"/>
        <w:bidi w:val="0"/>
        <w:rPr>
          <w:rFonts w:hint="default"/>
          <w:highlight w:val="none"/>
          <w:lang w:val="en-US" w:eastAsia="zh-CN"/>
        </w:rPr>
      </w:pPr>
      <w:bookmarkStart w:id="93" w:name="_Toc12422"/>
      <w:r>
        <w:rPr>
          <w:rFonts w:hint="eastAsia"/>
          <w:highlight w:val="none"/>
          <w:lang w:val="en-US" w:eastAsia="zh-CN"/>
        </w:rPr>
        <w:t>区域产业空间</w:t>
      </w:r>
      <w:bookmarkEnd w:id="93"/>
    </w:p>
    <w:p w14:paraId="548903BD">
      <w:pPr>
        <w:bidi w:val="0"/>
        <w:rPr>
          <w:rFonts w:hint="eastAsia"/>
          <w:highlight w:val="none"/>
          <w:lang w:val="en-US" w:eastAsia="zh-CN"/>
        </w:rPr>
      </w:pPr>
      <w:r>
        <w:rPr>
          <w:rFonts w:hint="eastAsia"/>
          <w:highlight w:val="none"/>
          <w:lang w:val="en-US" w:eastAsia="zh-CN"/>
        </w:rPr>
        <w:t>紧抓“一带一路”倡议、东北振兴战略，围绕彰武县城乡一体化，按照“整合优化布局、做强核心中心、补齐物流短板、完善服务体系、畅通内外循环”的总体思路，着力构建中心引领，配送中心支撑、末端网点覆盖城乡的物流空间布局体系。</w:t>
      </w:r>
    </w:p>
    <w:p w14:paraId="0E3CD2B3">
      <w:pPr>
        <w:bidi w:val="0"/>
        <w:rPr>
          <w:rFonts w:hint="eastAsia"/>
          <w:highlight w:val="none"/>
          <w:lang w:val="en-US" w:eastAsia="zh-CN"/>
        </w:rPr>
      </w:pPr>
      <w:r>
        <w:rPr>
          <w:rFonts w:hint="eastAsia"/>
          <w:highlight w:val="none"/>
          <w:lang w:val="en-US" w:eastAsia="zh-CN"/>
        </w:rPr>
        <w:t>依据彰武乡镇现有产业优势，区域打造“一核两轴四中心镇”物流发展格局，其中：</w:t>
      </w:r>
    </w:p>
    <w:p w14:paraId="2E16F571">
      <w:pPr>
        <w:bidi w:val="0"/>
        <w:rPr>
          <w:rFonts w:hint="default"/>
          <w:highlight w:val="none"/>
          <w:lang w:val="en-US" w:eastAsia="zh-CN"/>
        </w:rPr>
      </w:pPr>
      <w:r>
        <w:rPr>
          <w:rFonts w:hint="default"/>
          <w:highlight w:val="none"/>
          <w:lang w:val="en-US" w:eastAsia="zh-CN"/>
        </w:rPr>
        <w:t>一核：中心城区+兴隆山</w:t>
      </w:r>
      <w:r>
        <w:rPr>
          <w:rFonts w:hint="eastAsia"/>
          <w:highlight w:val="none"/>
          <w:lang w:val="en-US" w:eastAsia="zh-CN"/>
        </w:rPr>
        <w:t>镇</w:t>
      </w:r>
    </w:p>
    <w:p w14:paraId="76FB229D">
      <w:pPr>
        <w:bidi w:val="0"/>
        <w:rPr>
          <w:rFonts w:hint="default"/>
          <w:highlight w:val="none"/>
          <w:lang w:val="en-US" w:eastAsia="zh-CN"/>
        </w:rPr>
      </w:pPr>
      <w:r>
        <w:rPr>
          <w:rFonts w:hint="default"/>
          <w:highlight w:val="none"/>
          <w:lang w:val="en-US" w:eastAsia="zh-CN"/>
        </w:rPr>
        <w:t>两轴：以国道304 线、101线为发展轴</w:t>
      </w:r>
    </w:p>
    <w:p w14:paraId="2AB6D058">
      <w:pPr>
        <w:bidi w:val="0"/>
        <w:rPr>
          <w:rFonts w:hint="default"/>
          <w:highlight w:val="none"/>
          <w:lang w:val="en-US" w:eastAsia="zh-CN"/>
        </w:rPr>
      </w:pPr>
      <w:r>
        <w:rPr>
          <w:rFonts w:hint="default"/>
          <w:highlight w:val="none"/>
          <w:lang w:val="en-US" w:eastAsia="zh-CN"/>
        </w:rPr>
        <w:t>四中心镇：</w:t>
      </w:r>
    </w:p>
    <w:p w14:paraId="14452D6C">
      <w:pPr>
        <w:numPr>
          <w:ilvl w:val="0"/>
          <w:numId w:val="4"/>
        </w:numPr>
        <w:bidi w:val="0"/>
        <w:rPr>
          <w:rFonts w:hint="eastAsia"/>
          <w:highlight w:val="none"/>
          <w:lang w:val="en-US" w:eastAsia="zh-CN"/>
        </w:rPr>
      </w:pPr>
      <w:r>
        <w:rPr>
          <w:rFonts w:hint="eastAsia"/>
          <w:highlight w:val="none"/>
          <w:lang w:val="en-US" w:eastAsia="zh-CN"/>
        </w:rPr>
        <w:t>以</w:t>
      </w:r>
      <w:r>
        <w:rPr>
          <w:rFonts w:hint="default"/>
          <w:highlight w:val="none"/>
          <w:lang w:val="en-US" w:eastAsia="zh-CN"/>
        </w:rPr>
        <w:t>章古台</w:t>
      </w:r>
      <w:r>
        <w:rPr>
          <w:rFonts w:hint="eastAsia"/>
          <w:highlight w:val="none"/>
          <w:lang w:val="en-US" w:eastAsia="zh-CN"/>
        </w:rPr>
        <w:t>镇为中心，包含阿尔乡、冯家、四合城、大德和大冷等镇，以硅砂产业为主体，重点发展工业、现代农业及旅游行业。</w:t>
      </w:r>
    </w:p>
    <w:p w14:paraId="60B91463">
      <w:pPr>
        <w:numPr>
          <w:ilvl w:val="0"/>
          <w:numId w:val="4"/>
        </w:numPr>
        <w:bidi w:val="0"/>
        <w:rPr>
          <w:rFonts w:hint="default"/>
          <w:highlight w:val="none"/>
          <w:lang w:val="en-US" w:eastAsia="zh-CN"/>
        </w:rPr>
      </w:pPr>
      <w:r>
        <w:rPr>
          <w:rFonts w:hint="eastAsia"/>
          <w:highlight w:val="none"/>
          <w:lang w:val="en-US" w:eastAsia="zh-CN"/>
        </w:rPr>
        <w:t>以</w:t>
      </w:r>
      <w:r>
        <w:rPr>
          <w:rFonts w:hint="default"/>
          <w:highlight w:val="none"/>
          <w:lang w:val="en-US" w:eastAsia="zh-CN"/>
        </w:rPr>
        <w:t>哈尔套镇</w:t>
      </w:r>
      <w:r>
        <w:rPr>
          <w:rFonts w:hint="eastAsia"/>
          <w:highlight w:val="none"/>
          <w:lang w:val="en-US" w:eastAsia="zh-CN"/>
        </w:rPr>
        <w:t>为中心，以</w:t>
      </w:r>
      <w:r>
        <w:rPr>
          <w:rFonts w:hint="default"/>
          <w:highlight w:val="none"/>
          <w:lang w:val="en-US" w:eastAsia="zh-CN"/>
        </w:rPr>
        <w:t>打造沙农业</w:t>
      </w:r>
      <w:r>
        <w:rPr>
          <w:rFonts w:hint="eastAsia"/>
          <w:highlight w:val="none"/>
          <w:lang w:val="en-US" w:eastAsia="zh-CN"/>
        </w:rPr>
        <w:t>为主体，发展现代农业</w:t>
      </w:r>
      <w:r>
        <w:rPr>
          <w:rFonts w:hint="default"/>
          <w:highlight w:val="none"/>
          <w:lang w:val="en-US" w:eastAsia="zh-CN"/>
        </w:rPr>
        <w:t>，辐射满堂红、双庙、四堡子、平安、两家子、大冷和丰田等乡镇；</w:t>
      </w:r>
    </w:p>
    <w:p w14:paraId="0737BD8D">
      <w:pPr>
        <w:numPr>
          <w:ilvl w:val="0"/>
          <w:numId w:val="4"/>
        </w:numPr>
        <w:bidi w:val="0"/>
        <w:rPr>
          <w:rFonts w:hint="default"/>
          <w:highlight w:val="none"/>
          <w:lang w:val="en-US" w:eastAsia="zh-CN"/>
        </w:rPr>
      </w:pPr>
      <w:r>
        <w:rPr>
          <w:rFonts w:hint="eastAsia"/>
          <w:highlight w:val="none"/>
          <w:lang w:val="en-US" w:eastAsia="zh-CN"/>
        </w:rPr>
        <w:t>以</w:t>
      </w:r>
      <w:r>
        <w:rPr>
          <w:rFonts w:hint="default"/>
          <w:highlight w:val="none"/>
          <w:lang w:val="en-US" w:eastAsia="zh-CN"/>
        </w:rPr>
        <w:t>东六家子镇</w:t>
      </w:r>
      <w:r>
        <w:rPr>
          <w:rFonts w:hint="eastAsia"/>
          <w:highlight w:val="none"/>
          <w:lang w:val="en-US" w:eastAsia="zh-CN"/>
        </w:rPr>
        <w:t>为中心，发展农副产品</w:t>
      </w:r>
      <w:r>
        <w:rPr>
          <w:rFonts w:hint="default"/>
          <w:highlight w:val="none"/>
          <w:lang w:val="en-US" w:eastAsia="zh-CN"/>
        </w:rPr>
        <w:t>精深加工基地</w:t>
      </w:r>
      <w:r>
        <w:rPr>
          <w:rFonts w:hint="eastAsia"/>
          <w:highlight w:val="none"/>
          <w:lang w:val="en-US" w:eastAsia="zh-CN"/>
        </w:rPr>
        <w:t>，</w:t>
      </w:r>
      <w:r>
        <w:rPr>
          <w:rFonts w:hint="default"/>
          <w:highlight w:val="none"/>
          <w:lang w:val="en-US" w:eastAsia="zh-CN"/>
        </w:rPr>
        <w:t>建设沈阳现代化都市圈“大厨房”</w:t>
      </w:r>
      <w:r>
        <w:rPr>
          <w:rFonts w:hint="eastAsia"/>
          <w:highlight w:val="none"/>
          <w:lang w:val="en-US" w:eastAsia="zh-CN"/>
        </w:rPr>
        <w:t>，</w:t>
      </w:r>
      <w:r>
        <w:rPr>
          <w:rFonts w:hint="default"/>
          <w:highlight w:val="none"/>
          <w:lang w:val="en-US" w:eastAsia="zh-CN"/>
        </w:rPr>
        <w:t>辐射二道河子、五峰、两家子、西六家子</w:t>
      </w:r>
      <w:r>
        <w:rPr>
          <w:rFonts w:hint="eastAsia"/>
          <w:highlight w:val="none"/>
          <w:lang w:val="en-US" w:eastAsia="zh-CN"/>
        </w:rPr>
        <w:t>等乡镇；</w:t>
      </w:r>
    </w:p>
    <w:p w14:paraId="1B90F2AF">
      <w:pPr>
        <w:numPr>
          <w:ilvl w:val="0"/>
          <w:numId w:val="4"/>
        </w:numPr>
        <w:bidi w:val="0"/>
        <w:rPr>
          <w:rFonts w:hint="default"/>
          <w:highlight w:val="none"/>
          <w:lang w:val="en-US" w:eastAsia="zh-CN"/>
        </w:rPr>
      </w:pPr>
      <w:r>
        <w:rPr>
          <w:rFonts w:hint="eastAsia"/>
          <w:highlight w:val="none"/>
          <w:lang w:val="en-US" w:eastAsia="zh-CN"/>
        </w:rPr>
        <w:t>以</w:t>
      </w:r>
      <w:r>
        <w:rPr>
          <w:rFonts w:hint="default"/>
          <w:highlight w:val="none"/>
          <w:lang w:val="en-US" w:eastAsia="zh-CN"/>
        </w:rPr>
        <w:t>后新秋镇</w:t>
      </w:r>
      <w:r>
        <w:rPr>
          <w:rFonts w:hint="eastAsia"/>
          <w:highlight w:val="none"/>
          <w:lang w:val="en-US" w:eastAsia="zh-CN"/>
        </w:rPr>
        <w:t>为中心，</w:t>
      </w:r>
      <w:r>
        <w:rPr>
          <w:rFonts w:hint="default"/>
          <w:highlight w:val="none"/>
          <w:lang w:val="en-US" w:eastAsia="zh-CN"/>
        </w:rPr>
        <w:t>重点发展绿色观光农业和水产养殖业</w:t>
      </w:r>
      <w:r>
        <w:rPr>
          <w:rFonts w:hint="eastAsia"/>
          <w:highlight w:val="none"/>
          <w:lang w:val="en-US" w:eastAsia="zh-CN"/>
        </w:rPr>
        <w:t>，</w:t>
      </w:r>
      <w:r>
        <w:rPr>
          <w:rFonts w:hint="default"/>
          <w:highlight w:val="none"/>
          <w:lang w:val="en-US" w:eastAsia="zh-CN"/>
        </w:rPr>
        <w:t>辐射大四家子、苇子沟、兴隆堡</w:t>
      </w:r>
      <w:r>
        <w:rPr>
          <w:rFonts w:hint="eastAsia"/>
          <w:highlight w:val="none"/>
          <w:lang w:val="en-US" w:eastAsia="zh-CN"/>
        </w:rPr>
        <w:t>等乡镇。</w:t>
      </w:r>
    </w:p>
    <w:p w14:paraId="64C7CEE3">
      <w:pPr>
        <w:pStyle w:val="24"/>
        <w:bidi w:val="0"/>
        <w:rPr>
          <w:highlight w:val="none"/>
        </w:rPr>
      </w:pPr>
      <w:r>
        <w:rPr>
          <w:sz w:val="24"/>
        </w:rPr>
        <mc:AlternateContent>
          <mc:Choice Requires="wps">
            <w:drawing>
              <wp:anchor distT="0" distB="0" distL="114300" distR="114300" simplePos="0" relativeHeight="251665408" behindDoc="0" locked="0" layoutInCell="1" allowOverlap="1">
                <wp:simplePos x="0" y="0"/>
                <wp:positionH relativeFrom="column">
                  <wp:posOffset>3754120</wp:posOffset>
                </wp:positionH>
                <wp:positionV relativeFrom="paragraph">
                  <wp:posOffset>2806700</wp:posOffset>
                </wp:positionV>
                <wp:extent cx="1359535" cy="423545"/>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359535" cy="423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9465E">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东六家子镇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5.6pt;margin-top:221pt;height:33.35pt;width:107.05pt;z-index:251665408;mso-width-relative:page;mso-height-relative:page;" filled="f" stroked="f" coordsize="21600,21600" o:gfxdata="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6psYx9sAAAALAQAADwAAAAAAAAABACAAAAAiAAAA&#10;ZHJzL2Rvd25yZXYueG1sUEsBAhQAFAAAAAgAh07iQIEHn/g9AgAAaAQAAA4AAAAAAAAAAQAgAAAA&#10;KgEAAGRycy9lMm9Eb2MueG1sUEsFBgAAAAAGAAYAWQEAANkFAAAAAA==&#10;">
                <v:fill on="f" focussize="0,0"/>
                <v:stroke on="f" weight="0.5pt"/>
                <v:imagedata o:title=""/>
                <o:lock v:ext="edit" aspectratio="f"/>
                <v:textbox>
                  <w:txbxContent>
                    <w:p w14:paraId="2C19465E">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东六家子镇</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1385570</wp:posOffset>
                </wp:positionH>
                <wp:positionV relativeFrom="paragraph">
                  <wp:posOffset>1766570</wp:posOffset>
                </wp:positionV>
                <wp:extent cx="1359535" cy="423545"/>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359535" cy="423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0F3BFA">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哈尔套镇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1pt;margin-top:139.1pt;height:33.35pt;width:107.05pt;z-index:251664384;mso-width-relative:page;mso-height-relative:page;" filled="f" stroked="f" coordsize="21600,21600" o:gfxdata="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14iJidsAAAALAQAADwAAAAAAAAABACAAAAAiAAAA&#10;ZHJzL2Rvd25yZXYueG1sUEsBAhQAFAAAAAgAh07iQDE2cXg9AgAAaAQAAA4AAAAAAAAAAQAgAAAA&#10;KgEAAGRycy9lMm9Eb2MueG1sUEsFBgAAAAAGAAYAWQEAANkFAAAAAA==&#10;">
                <v:fill on="f" focussize="0,0"/>
                <v:stroke on="f" weight="0.5pt"/>
                <v:imagedata o:title=""/>
                <o:lock v:ext="edit" aspectratio="f"/>
                <v:textbox>
                  <w:txbxContent>
                    <w:p w14:paraId="1C0F3BFA">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哈尔套镇</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2920365</wp:posOffset>
                </wp:positionH>
                <wp:positionV relativeFrom="paragraph">
                  <wp:posOffset>610870</wp:posOffset>
                </wp:positionV>
                <wp:extent cx="1359535" cy="42354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359535" cy="423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4BEA5">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章古台镇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9.95pt;margin-top:48.1pt;height:33.35pt;width:107.05pt;z-index:251663360;mso-width-relative:page;mso-height-relative:page;" filled="f" stroked="f" coordsize="21600,21600" o:gfxdata="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zt43aAAAACgEAAA8AAAAAAAAAAQAgAAAAIgAAAGRy&#10;cy9kb3ducmV2LnhtbFBLAQIUABQAAAAIAIdO4kBax6y1PAIAAGgEAAAOAAAAAAAAAAEAIAAAACkB&#10;AABkcnMvZTJvRG9jLnhtbFBLBQYAAAAABgAGAFkBAADXBQAAAAA=&#10;">
                <v:fill on="f" focussize="0,0"/>
                <v:stroke on="f" weight="0.5pt"/>
                <v:imagedata o:title=""/>
                <o:lock v:ext="edit" aspectratio="f"/>
                <v:textbox>
                  <w:txbxContent>
                    <w:p w14:paraId="25C4BEA5">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章古台镇</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4215765</wp:posOffset>
                </wp:positionH>
                <wp:positionV relativeFrom="paragraph">
                  <wp:posOffset>1506855</wp:posOffset>
                </wp:positionV>
                <wp:extent cx="1359535" cy="423545"/>
                <wp:effectExtent l="0" t="0" r="0" b="0"/>
                <wp:wrapNone/>
                <wp:docPr id="20" name="文本框 20"/>
                <wp:cNvGraphicFramePr/>
                <a:graphic xmlns:a="http://schemas.openxmlformats.org/drawingml/2006/main">
                  <a:graphicData uri="http://schemas.microsoft.com/office/word/2010/wordprocessingShape">
                    <wps:wsp>
                      <wps:cNvSpPr txBox="1"/>
                      <wps:spPr>
                        <a:xfrm>
                          <a:off x="5567680" y="6112510"/>
                          <a:ext cx="1359535" cy="423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0608F">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后新秋镇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1.95pt;margin-top:118.65pt;height:33.35pt;width:107.05pt;z-index:251662336;mso-width-relative:page;mso-height-relative:page;" filled="f" stroked="f" coordsize="21600,21600" o:gfxdata="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hNjI83AAAAAsBAAAPAAAAAAAA&#10;AAEAIAAAACIAAABkcnMvZG93bnJldi54bWxQSwECFAAUAAAACACHTuJAgK2At0cCAAB0BAAADgAA&#10;AAAAAAABACAAAAArAQAAZHJzL2Uyb0RvYy54bWxQSwUGAAAAAAYABgBZAQAA5AUAAAAA&#10;">
                <v:fill on="f" focussize="0,0"/>
                <v:stroke on="f" weight="0.5pt"/>
                <v:imagedata o:title=""/>
                <o:lock v:ext="edit" aspectratio="f"/>
                <v:textbox>
                  <w:txbxContent>
                    <w:p w14:paraId="6380608F">
                      <w:pPr>
                        <w:ind w:left="0" w:leftChars="0" w:firstLine="0" w:firstLineChars="0"/>
                        <w:rPr>
                          <w:rFonts w:hint="eastAsia" w:ascii="黑体" w:hAnsi="黑体" w:eastAsia="黑体" w:cs="黑体"/>
                          <w:b/>
                          <w:bCs/>
                          <w:sz w:val="24"/>
                          <w:szCs w:val="22"/>
                          <w:lang w:val="en-US" w:eastAsia="zh-CN"/>
                        </w:rPr>
                      </w:pPr>
                      <w:r>
                        <w:rPr>
                          <w:rFonts w:hint="eastAsia" w:ascii="黑体" w:hAnsi="黑体" w:eastAsia="黑体" w:cs="黑体"/>
                          <w:b/>
                          <w:bCs/>
                          <w:sz w:val="24"/>
                          <w:szCs w:val="22"/>
                          <w:lang w:val="en-US" w:eastAsia="zh-CN"/>
                        </w:rPr>
                        <w:t>后新秋镇</w:t>
                      </w:r>
                    </w:p>
                  </w:txbxContent>
                </v:textbox>
              </v:shape>
            </w:pict>
          </mc:Fallback>
        </mc:AlternateContent>
      </w:r>
      <w:r>
        <w:drawing>
          <wp:inline distT="0" distB="0" distL="114300" distR="114300">
            <wp:extent cx="5269230" cy="4108450"/>
            <wp:effectExtent l="0" t="0" r="1270" b="635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8"/>
                    <a:stretch>
                      <a:fillRect/>
                    </a:stretch>
                  </pic:blipFill>
                  <pic:spPr>
                    <a:xfrm>
                      <a:off x="0" y="0"/>
                      <a:ext cx="5269230" cy="4108450"/>
                    </a:xfrm>
                    <a:prstGeom prst="rect">
                      <a:avLst/>
                    </a:prstGeom>
                    <a:noFill/>
                    <a:ln>
                      <a:noFill/>
                    </a:ln>
                  </pic:spPr>
                </pic:pic>
              </a:graphicData>
            </a:graphic>
          </wp:inline>
        </w:drawing>
      </w:r>
    </w:p>
    <w:p w14:paraId="36026D0B">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彰武产业发展体系图</w:t>
      </w:r>
    </w:p>
    <w:p w14:paraId="2AF20A97">
      <w:pPr>
        <w:rPr>
          <w:rFonts w:hint="eastAsia"/>
          <w:highlight w:val="none"/>
          <w:lang w:val="en-US" w:eastAsia="zh-CN"/>
        </w:rPr>
      </w:pPr>
      <w:r>
        <w:rPr>
          <w:rFonts w:hint="eastAsia"/>
          <w:highlight w:val="none"/>
          <w:lang w:val="en-US" w:eastAsia="zh-CN"/>
        </w:rPr>
        <w:t>结合各中心镇产业特征，并综合考虑交通轴线，通过差异化考虑各类物流的节点组织模式，形成“5+10+N”三级物流节点体系。</w:t>
      </w:r>
    </w:p>
    <w:p w14:paraId="57959151">
      <w:pPr>
        <w:rPr>
          <w:rFonts w:hint="eastAsia"/>
          <w:highlight w:val="none"/>
          <w:lang w:val="en-US" w:eastAsia="zh-CN"/>
        </w:rPr>
      </w:pPr>
      <w:r>
        <w:rPr>
          <w:rFonts w:hint="eastAsia"/>
          <w:highlight w:val="none"/>
          <w:lang w:val="en-US" w:eastAsia="zh-CN"/>
        </w:rPr>
        <w:t>一级节点（5中心）对应生产物流中心、骨干冷链物流基地、粮食储备库和物流园中具有辐射全县对外、集聚效应强、服务功能优的物流设施群。</w:t>
      </w:r>
    </w:p>
    <w:p w14:paraId="36096DE4">
      <w:pPr>
        <w:rPr>
          <w:rFonts w:hint="default"/>
          <w:highlight w:val="none"/>
          <w:lang w:val="en-US" w:eastAsia="zh-CN"/>
        </w:rPr>
      </w:pPr>
      <w:r>
        <w:rPr>
          <w:rFonts w:hint="default"/>
          <w:highlight w:val="none"/>
          <w:lang w:val="en-US" w:eastAsia="zh-CN"/>
        </w:rPr>
        <w:t>二级节点（</w:t>
      </w:r>
      <w:r>
        <w:rPr>
          <w:rFonts w:hint="eastAsia"/>
          <w:highlight w:val="none"/>
          <w:lang w:val="en-US" w:eastAsia="zh-CN"/>
        </w:rPr>
        <w:t>10配送中心</w:t>
      </w:r>
      <w:r>
        <w:rPr>
          <w:rFonts w:hint="default"/>
          <w:highlight w:val="none"/>
          <w:lang w:val="en-US" w:eastAsia="zh-CN"/>
        </w:rPr>
        <w:t>）对应生产物流和快递物流的配送中心、产销冷链集配中心、粮食批发市场等。</w:t>
      </w:r>
    </w:p>
    <w:p w14:paraId="107BD54C">
      <w:pPr>
        <w:rPr>
          <w:rFonts w:hint="default"/>
          <w:highlight w:val="none"/>
          <w:lang w:val="en-US" w:eastAsia="zh-CN"/>
        </w:rPr>
      </w:pPr>
      <w:r>
        <w:rPr>
          <w:rFonts w:hint="default"/>
          <w:highlight w:val="none"/>
          <w:lang w:val="en-US" w:eastAsia="zh-CN"/>
        </w:rPr>
        <w:t>三级节点（</w:t>
      </w:r>
      <w:r>
        <w:rPr>
          <w:rFonts w:hint="eastAsia"/>
          <w:highlight w:val="none"/>
          <w:lang w:val="en-US" w:eastAsia="zh-CN"/>
        </w:rPr>
        <w:t>N</w:t>
      </w:r>
      <w:r>
        <w:rPr>
          <w:rFonts w:hint="default"/>
          <w:highlight w:val="none"/>
          <w:lang w:val="en-US" w:eastAsia="zh-CN"/>
        </w:rPr>
        <w:t>末端网点）对应快递物流的末端网点、末端冷链物流设施、粮食零售终端等。</w:t>
      </w:r>
    </w:p>
    <w:p w14:paraId="1697E5D1">
      <w:pPr>
        <w:rPr>
          <w:rFonts w:hint="default"/>
          <w:highlight w:val="none"/>
          <w:lang w:val="en-US" w:eastAsia="zh-CN"/>
        </w:rPr>
      </w:pPr>
      <w:r>
        <w:rPr>
          <w:rFonts w:hint="default"/>
          <w:highlight w:val="none"/>
          <w:lang w:val="en-US" w:eastAsia="zh-CN"/>
        </w:rPr>
        <w:t>本次规划重点研究一级节点（物流</w:t>
      </w:r>
      <w:r>
        <w:rPr>
          <w:rFonts w:hint="eastAsia"/>
          <w:highlight w:val="none"/>
          <w:lang w:val="en-US" w:eastAsia="zh-CN"/>
        </w:rPr>
        <w:t>中心</w:t>
      </w:r>
      <w:r>
        <w:rPr>
          <w:rFonts w:hint="default"/>
          <w:highlight w:val="none"/>
          <w:lang w:val="en-US" w:eastAsia="zh-CN"/>
        </w:rPr>
        <w:t>）和二级节点（</w:t>
      </w:r>
      <w:r>
        <w:rPr>
          <w:rFonts w:hint="eastAsia"/>
          <w:highlight w:val="none"/>
          <w:lang w:val="en-US" w:eastAsia="zh-CN"/>
        </w:rPr>
        <w:t>配送中心</w:t>
      </w:r>
      <w:r>
        <w:rPr>
          <w:rFonts w:hint="default"/>
          <w:highlight w:val="none"/>
          <w:lang w:val="en-US" w:eastAsia="zh-CN"/>
        </w:rPr>
        <w:t>）的空间布局。</w:t>
      </w:r>
    </w:p>
    <w:p w14:paraId="048F6758">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表 \* ARABIC \s 1 </w:instrText>
      </w:r>
      <w:r>
        <w:fldChar w:fldCharType="separate"/>
      </w:r>
      <w:r>
        <w:t>2</w:t>
      </w:r>
      <w:r>
        <w:fldChar w:fldCharType="end"/>
      </w:r>
      <w:r>
        <w:rPr>
          <w:rFonts w:hint="eastAsia"/>
          <w:lang w:val="en-US" w:eastAsia="zh-CN"/>
        </w:rPr>
        <w:t xml:space="preserve"> </w:t>
      </w:r>
      <w:r>
        <w:rPr>
          <w:rFonts w:hint="eastAsia"/>
          <w:highlight w:val="none"/>
          <w:lang w:val="en-US" w:eastAsia="zh-CN"/>
        </w:rPr>
        <w:t>一级物流节点表</w:t>
      </w:r>
    </w:p>
    <w:tbl>
      <w:tblPr>
        <w:tblStyle w:val="20"/>
        <w:tblW w:w="4998"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955"/>
        <w:gridCol w:w="1493"/>
        <w:gridCol w:w="698"/>
        <w:gridCol w:w="1149"/>
        <w:gridCol w:w="943"/>
        <w:gridCol w:w="893"/>
        <w:gridCol w:w="1212"/>
      </w:tblGrid>
      <w:tr w14:paraId="38B5C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60" w:hRule="atLeast"/>
          <w:tblCellSpacing w:w="0" w:type="dxa"/>
        </w:trPr>
        <w:tc>
          <w:tcPr>
            <w:tcW w:w="1171" w:type="pct"/>
            <w:tcBorders>
              <w:top w:val="single" w:color="53CED5" w:sz="24" w:space="0"/>
            </w:tcBorders>
            <w:shd w:val="clear" w:color="auto" w:fill="53CED5"/>
            <w:tcMar>
              <w:top w:w="20" w:type="dxa"/>
              <w:left w:w="20" w:type="dxa"/>
              <w:bottom w:w="72" w:type="dxa"/>
              <w:right w:w="20" w:type="dxa"/>
            </w:tcMar>
            <w:vAlign w:val="center"/>
          </w:tcPr>
          <w:p w14:paraId="2B1AAF54">
            <w:pPr>
              <w:pStyle w:val="25"/>
              <w:bidi w:val="0"/>
              <w:rPr>
                <w:rFonts w:hint="eastAsia" w:eastAsia="仿宋_GB2312"/>
                <w:highlight w:val="none"/>
                <w:lang w:eastAsia="zh-CN"/>
              </w:rPr>
            </w:pPr>
            <w:r>
              <w:rPr>
                <w:rFonts w:hint="eastAsia"/>
                <w:b w:val="0"/>
                <w:bCs/>
                <w:highlight w:val="none"/>
                <w:lang w:val="en-US" w:eastAsia="zh-CN"/>
              </w:rPr>
              <w:t>物流中心</w:t>
            </w:r>
          </w:p>
        </w:tc>
        <w:tc>
          <w:tcPr>
            <w:tcW w:w="894" w:type="pct"/>
            <w:tcBorders>
              <w:top w:val="single" w:color="53CED5" w:sz="24" w:space="0"/>
            </w:tcBorders>
            <w:shd w:val="clear" w:color="auto" w:fill="53CED5"/>
            <w:tcMar>
              <w:top w:w="20" w:type="dxa"/>
              <w:left w:w="20" w:type="dxa"/>
              <w:bottom w:w="72" w:type="dxa"/>
              <w:right w:w="20" w:type="dxa"/>
            </w:tcMar>
            <w:vAlign w:val="center"/>
          </w:tcPr>
          <w:p w14:paraId="4403BFE9">
            <w:pPr>
              <w:pStyle w:val="25"/>
              <w:bidi w:val="0"/>
              <w:rPr>
                <w:highlight w:val="none"/>
              </w:rPr>
            </w:pPr>
            <w:r>
              <w:rPr>
                <w:rFonts w:hint="eastAsia"/>
                <w:b w:val="0"/>
                <w:bCs/>
                <w:highlight w:val="none"/>
              </w:rPr>
              <w:t>工业产品仓储</w:t>
            </w:r>
          </w:p>
        </w:tc>
        <w:tc>
          <w:tcPr>
            <w:tcW w:w="418" w:type="pct"/>
            <w:tcBorders>
              <w:top w:val="single" w:color="53CED5" w:sz="24" w:space="0"/>
            </w:tcBorders>
            <w:shd w:val="clear" w:color="auto" w:fill="53CED5"/>
            <w:tcMar>
              <w:top w:w="20" w:type="dxa"/>
              <w:left w:w="20" w:type="dxa"/>
              <w:bottom w:w="72" w:type="dxa"/>
              <w:right w:w="20" w:type="dxa"/>
            </w:tcMar>
            <w:vAlign w:val="center"/>
          </w:tcPr>
          <w:p w14:paraId="25FE5A39">
            <w:pPr>
              <w:pStyle w:val="25"/>
              <w:bidi w:val="0"/>
              <w:rPr>
                <w:highlight w:val="none"/>
              </w:rPr>
            </w:pPr>
            <w:r>
              <w:rPr>
                <w:rFonts w:hint="eastAsia"/>
                <w:b w:val="0"/>
                <w:bCs/>
                <w:highlight w:val="none"/>
              </w:rPr>
              <w:t>粮库</w:t>
            </w:r>
          </w:p>
        </w:tc>
        <w:tc>
          <w:tcPr>
            <w:tcW w:w="688" w:type="pct"/>
            <w:tcBorders>
              <w:top w:val="single" w:color="53CED5" w:sz="24" w:space="0"/>
            </w:tcBorders>
            <w:shd w:val="clear" w:color="auto" w:fill="53CED5"/>
            <w:tcMar>
              <w:top w:w="20" w:type="dxa"/>
              <w:left w:w="20" w:type="dxa"/>
              <w:bottom w:w="72" w:type="dxa"/>
              <w:right w:w="20" w:type="dxa"/>
            </w:tcMar>
            <w:vAlign w:val="center"/>
          </w:tcPr>
          <w:p w14:paraId="422C6E81">
            <w:pPr>
              <w:pStyle w:val="25"/>
              <w:bidi w:val="0"/>
              <w:rPr>
                <w:highlight w:val="none"/>
              </w:rPr>
            </w:pPr>
            <w:r>
              <w:rPr>
                <w:rFonts w:hint="eastAsia"/>
                <w:b w:val="0"/>
                <w:bCs/>
                <w:highlight w:val="none"/>
              </w:rPr>
              <w:t>综合物流中心</w:t>
            </w:r>
          </w:p>
        </w:tc>
        <w:tc>
          <w:tcPr>
            <w:tcW w:w="565" w:type="pct"/>
            <w:tcBorders>
              <w:top w:val="single" w:color="53CED5" w:sz="24" w:space="0"/>
            </w:tcBorders>
            <w:shd w:val="clear" w:color="auto" w:fill="53CED5"/>
            <w:tcMar>
              <w:top w:w="20" w:type="dxa"/>
              <w:left w:w="20" w:type="dxa"/>
              <w:bottom w:w="72" w:type="dxa"/>
              <w:right w:w="20" w:type="dxa"/>
            </w:tcMar>
            <w:vAlign w:val="center"/>
          </w:tcPr>
          <w:p w14:paraId="18816F45">
            <w:pPr>
              <w:pStyle w:val="25"/>
              <w:bidi w:val="0"/>
              <w:rPr>
                <w:highlight w:val="none"/>
              </w:rPr>
            </w:pPr>
            <w:r>
              <w:rPr>
                <w:rFonts w:hint="eastAsia"/>
                <w:b w:val="0"/>
                <w:bCs/>
                <w:highlight w:val="none"/>
              </w:rPr>
              <w:t>货运驿站</w:t>
            </w:r>
          </w:p>
        </w:tc>
        <w:tc>
          <w:tcPr>
            <w:tcW w:w="535" w:type="pct"/>
            <w:tcBorders>
              <w:top w:val="single" w:color="53CED5" w:sz="24" w:space="0"/>
            </w:tcBorders>
            <w:shd w:val="clear" w:color="auto" w:fill="53CED5"/>
            <w:tcMar>
              <w:top w:w="20" w:type="dxa"/>
              <w:left w:w="20" w:type="dxa"/>
              <w:bottom w:w="72" w:type="dxa"/>
              <w:right w:w="20" w:type="dxa"/>
            </w:tcMar>
            <w:vAlign w:val="center"/>
          </w:tcPr>
          <w:p w14:paraId="6F167BEE">
            <w:pPr>
              <w:pStyle w:val="25"/>
              <w:bidi w:val="0"/>
              <w:rPr>
                <w:highlight w:val="none"/>
              </w:rPr>
            </w:pPr>
            <w:r>
              <w:rPr>
                <w:rFonts w:hint="eastAsia"/>
                <w:b w:val="0"/>
                <w:bCs/>
                <w:highlight w:val="none"/>
              </w:rPr>
              <w:t>农产品转运</w:t>
            </w:r>
          </w:p>
        </w:tc>
        <w:tc>
          <w:tcPr>
            <w:tcW w:w="726" w:type="pct"/>
            <w:tcBorders>
              <w:top w:val="single" w:color="53CED5" w:sz="24" w:space="0"/>
            </w:tcBorders>
            <w:shd w:val="clear" w:color="auto" w:fill="53CED5"/>
            <w:tcMar>
              <w:top w:w="20" w:type="dxa"/>
              <w:left w:w="20" w:type="dxa"/>
              <w:bottom w:w="72" w:type="dxa"/>
              <w:right w:w="20" w:type="dxa"/>
            </w:tcMar>
            <w:vAlign w:val="center"/>
          </w:tcPr>
          <w:p w14:paraId="6CCBFEE7">
            <w:pPr>
              <w:pStyle w:val="25"/>
              <w:bidi w:val="0"/>
              <w:rPr>
                <w:highlight w:val="none"/>
              </w:rPr>
            </w:pPr>
            <w:r>
              <w:rPr>
                <w:rFonts w:hint="eastAsia"/>
                <w:b w:val="0"/>
                <w:bCs/>
                <w:highlight w:val="none"/>
              </w:rPr>
              <w:t>包装菜</w:t>
            </w:r>
          </w:p>
        </w:tc>
      </w:tr>
      <w:tr w14:paraId="3BE99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blCellSpacing w:w="0" w:type="dxa"/>
        </w:trPr>
        <w:tc>
          <w:tcPr>
            <w:tcW w:w="1171" w:type="pct"/>
            <w:tcBorders>
              <w:top w:val="single" w:color="53CED5" w:sz="24" w:space="0"/>
            </w:tcBorders>
            <w:shd w:val="clear" w:color="auto" w:fill="DEF6F7"/>
            <w:tcMar>
              <w:top w:w="20" w:type="dxa"/>
              <w:left w:w="20" w:type="dxa"/>
              <w:bottom w:w="72" w:type="dxa"/>
              <w:right w:w="20" w:type="dxa"/>
            </w:tcMar>
            <w:vAlign w:val="center"/>
          </w:tcPr>
          <w:p w14:paraId="5F85B0AC">
            <w:pPr>
              <w:pStyle w:val="25"/>
              <w:bidi w:val="0"/>
              <w:rPr>
                <w:rFonts w:hint="eastAsia" w:eastAsia="仿宋_GB2312"/>
                <w:highlight w:val="none"/>
                <w:lang w:eastAsia="zh-CN"/>
              </w:rPr>
            </w:pPr>
            <w:r>
              <w:rPr>
                <w:rFonts w:hint="eastAsia"/>
                <w:b w:val="0"/>
                <w:bCs/>
                <w:highlight w:val="none"/>
              </w:rPr>
              <w:t>绿色硅砂及装备制造物流</w:t>
            </w:r>
            <w:r>
              <w:rPr>
                <w:rFonts w:hint="eastAsia"/>
                <w:b w:val="0"/>
                <w:bCs/>
                <w:highlight w:val="none"/>
                <w:lang w:val="en-US" w:eastAsia="zh-CN"/>
              </w:rPr>
              <w:t>中心</w:t>
            </w:r>
          </w:p>
        </w:tc>
        <w:tc>
          <w:tcPr>
            <w:tcW w:w="894" w:type="pct"/>
            <w:tcBorders>
              <w:top w:val="single" w:color="53CED5" w:sz="24" w:space="0"/>
            </w:tcBorders>
            <w:shd w:val="clear" w:color="auto" w:fill="DEF6F7"/>
            <w:tcMar>
              <w:top w:w="20" w:type="dxa"/>
              <w:left w:w="20" w:type="dxa"/>
              <w:bottom w:w="72" w:type="dxa"/>
              <w:right w:w="20" w:type="dxa"/>
            </w:tcMar>
            <w:vAlign w:val="center"/>
          </w:tcPr>
          <w:p w14:paraId="6B056CAC">
            <w:pPr>
              <w:pStyle w:val="25"/>
              <w:bidi w:val="0"/>
              <w:rPr>
                <w:highlight w:val="none"/>
              </w:rPr>
            </w:pPr>
            <w:r>
              <w:rPr>
                <w:rFonts w:hint="eastAsia"/>
                <w:b w:val="0"/>
                <w:bCs/>
                <w:highlight w:val="none"/>
              </w:rPr>
              <w:t>√</w:t>
            </w:r>
          </w:p>
        </w:tc>
        <w:tc>
          <w:tcPr>
            <w:tcW w:w="418" w:type="pct"/>
            <w:tcBorders>
              <w:top w:val="single" w:color="53CED5" w:sz="24" w:space="0"/>
            </w:tcBorders>
            <w:shd w:val="clear" w:color="auto" w:fill="DEF6F7"/>
            <w:tcMar>
              <w:top w:w="20" w:type="dxa"/>
              <w:left w:w="20" w:type="dxa"/>
              <w:bottom w:w="72" w:type="dxa"/>
              <w:right w:w="20" w:type="dxa"/>
            </w:tcMar>
            <w:vAlign w:val="center"/>
          </w:tcPr>
          <w:p w14:paraId="01CF773E">
            <w:pPr>
              <w:pStyle w:val="25"/>
              <w:bidi w:val="0"/>
              <w:rPr>
                <w:highlight w:val="none"/>
              </w:rPr>
            </w:pPr>
            <w:r>
              <w:rPr>
                <w:rFonts w:hint="eastAsia"/>
                <w:b w:val="0"/>
                <w:bCs/>
                <w:highlight w:val="none"/>
              </w:rPr>
              <w:t>√</w:t>
            </w:r>
          </w:p>
        </w:tc>
        <w:tc>
          <w:tcPr>
            <w:tcW w:w="688" w:type="pct"/>
            <w:tcBorders>
              <w:top w:val="single" w:color="53CED5" w:sz="24" w:space="0"/>
            </w:tcBorders>
            <w:shd w:val="clear" w:color="auto" w:fill="DEF6F7"/>
            <w:tcMar>
              <w:top w:w="20" w:type="dxa"/>
              <w:left w:w="20" w:type="dxa"/>
              <w:bottom w:w="72" w:type="dxa"/>
              <w:right w:w="20" w:type="dxa"/>
            </w:tcMar>
            <w:vAlign w:val="center"/>
          </w:tcPr>
          <w:p w14:paraId="4ACCF5A6">
            <w:pPr>
              <w:pStyle w:val="25"/>
              <w:bidi w:val="0"/>
              <w:rPr>
                <w:highlight w:val="none"/>
              </w:rPr>
            </w:pPr>
            <w:r>
              <w:rPr>
                <w:rFonts w:hint="eastAsia"/>
                <w:b w:val="0"/>
                <w:bCs/>
                <w:highlight w:val="none"/>
              </w:rPr>
              <w:t>√</w:t>
            </w:r>
          </w:p>
        </w:tc>
        <w:tc>
          <w:tcPr>
            <w:tcW w:w="565" w:type="pct"/>
            <w:tcBorders>
              <w:top w:val="single" w:color="53CED5" w:sz="24" w:space="0"/>
            </w:tcBorders>
            <w:shd w:val="clear" w:color="auto" w:fill="DEF6F7"/>
            <w:tcMar>
              <w:top w:w="20" w:type="dxa"/>
              <w:left w:w="20" w:type="dxa"/>
              <w:bottom w:w="72" w:type="dxa"/>
              <w:right w:w="20" w:type="dxa"/>
            </w:tcMar>
            <w:vAlign w:val="center"/>
          </w:tcPr>
          <w:p w14:paraId="49919176">
            <w:pPr>
              <w:pStyle w:val="25"/>
              <w:bidi w:val="0"/>
              <w:rPr>
                <w:highlight w:val="none"/>
              </w:rPr>
            </w:pPr>
            <w:r>
              <w:rPr>
                <w:rFonts w:hint="eastAsia"/>
                <w:b w:val="0"/>
                <w:bCs/>
                <w:highlight w:val="none"/>
              </w:rPr>
              <w:t>√</w:t>
            </w:r>
          </w:p>
        </w:tc>
        <w:tc>
          <w:tcPr>
            <w:tcW w:w="535" w:type="pct"/>
            <w:tcBorders>
              <w:top w:val="single" w:color="53CED5" w:sz="24" w:space="0"/>
            </w:tcBorders>
            <w:shd w:val="clear" w:color="auto" w:fill="DEF6F7"/>
            <w:tcMar>
              <w:top w:w="20" w:type="dxa"/>
              <w:left w:w="20" w:type="dxa"/>
              <w:bottom w:w="72" w:type="dxa"/>
              <w:right w:w="20" w:type="dxa"/>
            </w:tcMar>
            <w:vAlign w:val="center"/>
          </w:tcPr>
          <w:p w14:paraId="5CA6BAC9">
            <w:pPr>
              <w:pStyle w:val="25"/>
              <w:bidi w:val="0"/>
              <w:rPr>
                <w:highlight w:val="none"/>
              </w:rPr>
            </w:pPr>
          </w:p>
        </w:tc>
        <w:tc>
          <w:tcPr>
            <w:tcW w:w="726" w:type="pct"/>
            <w:tcBorders>
              <w:top w:val="single" w:color="53CED5" w:sz="24" w:space="0"/>
            </w:tcBorders>
            <w:shd w:val="clear" w:color="auto" w:fill="DEF6F7"/>
            <w:tcMar>
              <w:top w:w="20" w:type="dxa"/>
              <w:left w:w="20" w:type="dxa"/>
              <w:bottom w:w="72" w:type="dxa"/>
              <w:right w:w="20" w:type="dxa"/>
            </w:tcMar>
            <w:vAlign w:val="center"/>
          </w:tcPr>
          <w:p w14:paraId="76C1B837">
            <w:pPr>
              <w:pStyle w:val="25"/>
              <w:bidi w:val="0"/>
              <w:rPr>
                <w:highlight w:val="none"/>
              </w:rPr>
            </w:pPr>
          </w:p>
        </w:tc>
      </w:tr>
      <w:tr w14:paraId="75D51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blCellSpacing w:w="0" w:type="dxa"/>
        </w:trPr>
        <w:tc>
          <w:tcPr>
            <w:tcW w:w="1171" w:type="pct"/>
            <w:tcBorders>
              <w:top w:val="single" w:color="53CED5" w:sz="24" w:space="0"/>
            </w:tcBorders>
            <w:shd w:val="clear" w:color="auto" w:fill="FFFFFF"/>
            <w:tcMar>
              <w:top w:w="20" w:type="dxa"/>
              <w:left w:w="20" w:type="dxa"/>
              <w:bottom w:w="72" w:type="dxa"/>
              <w:right w:w="20" w:type="dxa"/>
            </w:tcMar>
            <w:vAlign w:val="center"/>
          </w:tcPr>
          <w:p w14:paraId="0B0A257E">
            <w:pPr>
              <w:pStyle w:val="25"/>
              <w:bidi w:val="0"/>
              <w:rPr>
                <w:rFonts w:hint="eastAsia" w:eastAsia="仿宋_GB2312"/>
                <w:highlight w:val="none"/>
                <w:lang w:eastAsia="zh-CN"/>
              </w:rPr>
            </w:pPr>
            <w:r>
              <w:rPr>
                <w:rFonts w:hint="eastAsia"/>
                <w:b w:val="0"/>
                <w:bCs/>
                <w:highlight w:val="none"/>
              </w:rPr>
              <w:t>中心城区综合服务物流</w:t>
            </w:r>
            <w:r>
              <w:rPr>
                <w:rFonts w:hint="eastAsia"/>
                <w:b w:val="0"/>
                <w:bCs/>
                <w:highlight w:val="none"/>
                <w:lang w:eastAsia="zh-CN"/>
              </w:rPr>
              <w:t>中心</w:t>
            </w:r>
          </w:p>
        </w:tc>
        <w:tc>
          <w:tcPr>
            <w:tcW w:w="894" w:type="pct"/>
            <w:tcBorders>
              <w:top w:val="single" w:color="53CED5" w:sz="24" w:space="0"/>
            </w:tcBorders>
            <w:shd w:val="clear" w:color="auto" w:fill="FFFFFF"/>
            <w:tcMar>
              <w:top w:w="20" w:type="dxa"/>
              <w:left w:w="20" w:type="dxa"/>
              <w:bottom w:w="72" w:type="dxa"/>
              <w:right w:w="20" w:type="dxa"/>
            </w:tcMar>
            <w:vAlign w:val="center"/>
          </w:tcPr>
          <w:p w14:paraId="664ECE86">
            <w:pPr>
              <w:pStyle w:val="25"/>
              <w:bidi w:val="0"/>
              <w:rPr>
                <w:highlight w:val="none"/>
              </w:rPr>
            </w:pPr>
          </w:p>
        </w:tc>
        <w:tc>
          <w:tcPr>
            <w:tcW w:w="418" w:type="pct"/>
            <w:tcBorders>
              <w:top w:val="single" w:color="53CED5" w:sz="24" w:space="0"/>
            </w:tcBorders>
            <w:shd w:val="clear" w:color="auto" w:fill="FFFFFF"/>
            <w:tcMar>
              <w:top w:w="20" w:type="dxa"/>
              <w:left w:w="20" w:type="dxa"/>
              <w:bottom w:w="72" w:type="dxa"/>
              <w:right w:w="20" w:type="dxa"/>
            </w:tcMar>
            <w:vAlign w:val="center"/>
          </w:tcPr>
          <w:p w14:paraId="29996C1B">
            <w:pPr>
              <w:pStyle w:val="25"/>
              <w:bidi w:val="0"/>
              <w:rPr>
                <w:highlight w:val="none"/>
              </w:rPr>
            </w:pPr>
          </w:p>
        </w:tc>
        <w:tc>
          <w:tcPr>
            <w:tcW w:w="688" w:type="pct"/>
            <w:tcBorders>
              <w:top w:val="single" w:color="53CED5" w:sz="24" w:space="0"/>
            </w:tcBorders>
            <w:shd w:val="clear" w:color="auto" w:fill="FFFFFF"/>
            <w:tcMar>
              <w:top w:w="20" w:type="dxa"/>
              <w:left w:w="20" w:type="dxa"/>
              <w:bottom w:w="72" w:type="dxa"/>
              <w:right w:w="20" w:type="dxa"/>
            </w:tcMar>
            <w:vAlign w:val="center"/>
          </w:tcPr>
          <w:p w14:paraId="74B7843E">
            <w:pPr>
              <w:pStyle w:val="25"/>
              <w:bidi w:val="0"/>
              <w:rPr>
                <w:highlight w:val="none"/>
              </w:rPr>
            </w:pPr>
            <w:r>
              <w:rPr>
                <w:rFonts w:hint="eastAsia"/>
                <w:b w:val="0"/>
                <w:bCs/>
                <w:highlight w:val="none"/>
              </w:rPr>
              <w:t>√</w:t>
            </w:r>
          </w:p>
        </w:tc>
        <w:tc>
          <w:tcPr>
            <w:tcW w:w="565" w:type="pct"/>
            <w:tcBorders>
              <w:top w:val="single" w:color="53CED5" w:sz="24" w:space="0"/>
            </w:tcBorders>
            <w:shd w:val="clear" w:color="auto" w:fill="FFFFFF"/>
            <w:tcMar>
              <w:top w:w="20" w:type="dxa"/>
              <w:left w:w="20" w:type="dxa"/>
              <w:bottom w:w="72" w:type="dxa"/>
              <w:right w:w="20" w:type="dxa"/>
            </w:tcMar>
            <w:vAlign w:val="center"/>
          </w:tcPr>
          <w:p w14:paraId="715C9E4B">
            <w:pPr>
              <w:pStyle w:val="25"/>
              <w:bidi w:val="0"/>
              <w:rPr>
                <w:highlight w:val="none"/>
              </w:rPr>
            </w:pPr>
            <w:r>
              <w:rPr>
                <w:rFonts w:hint="eastAsia"/>
                <w:b w:val="0"/>
                <w:bCs/>
                <w:highlight w:val="none"/>
              </w:rPr>
              <w:t>√</w:t>
            </w:r>
          </w:p>
        </w:tc>
        <w:tc>
          <w:tcPr>
            <w:tcW w:w="535" w:type="pct"/>
            <w:tcBorders>
              <w:top w:val="single" w:color="53CED5" w:sz="24" w:space="0"/>
            </w:tcBorders>
            <w:shd w:val="clear" w:color="auto" w:fill="FFFFFF"/>
            <w:tcMar>
              <w:top w:w="20" w:type="dxa"/>
              <w:left w:w="20" w:type="dxa"/>
              <w:bottom w:w="72" w:type="dxa"/>
              <w:right w:w="20" w:type="dxa"/>
            </w:tcMar>
            <w:vAlign w:val="center"/>
          </w:tcPr>
          <w:p w14:paraId="43685C6B">
            <w:pPr>
              <w:pStyle w:val="25"/>
              <w:bidi w:val="0"/>
              <w:rPr>
                <w:highlight w:val="none"/>
              </w:rPr>
            </w:pPr>
            <w:r>
              <w:rPr>
                <w:rFonts w:hint="eastAsia"/>
                <w:b w:val="0"/>
                <w:bCs/>
                <w:highlight w:val="none"/>
              </w:rPr>
              <w:t>√</w:t>
            </w:r>
          </w:p>
        </w:tc>
        <w:tc>
          <w:tcPr>
            <w:tcW w:w="726" w:type="pct"/>
            <w:tcBorders>
              <w:top w:val="single" w:color="53CED5" w:sz="24" w:space="0"/>
            </w:tcBorders>
            <w:shd w:val="clear" w:color="auto" w:fill="FFFFFF"/>
            <w:tcMar>
              <w:top w:w="20" w:type="dxa"/>
              <w:left w:w="20" w:type="dxa"/>
              <w:bottom w:w="72" w:type="dxa"/>
              <w:right w:w="20" w:type="dxa"/>
            </w:tcMar>
            <w:vAlign w:val="center"/>
          </w:tcPr>
          <w:p w14:paraId="4DBA3A88">
            <w:pPr>
              <w:pStyle w:val="25"/>
              <w:bidi w:val="0"/>
              <w:rPr>
                <w:highlight w:val="none"/>
              </w:rPr>
            </w:pPr>
          </w:p>
        </w:tc>
      </w:tr>
      <w:tr w14:paraId="18EC8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blCellSpacing w:w="0" w:type="dxa"/>
        </w:trPr>
        <w:tc>
          <w:tcPr>
            <w:tcW w:w="1171" w:type="pct"/>
            <w:tcBorders>
              <w:top w:val="single" w:color="53CED5" w:sz="24" w:space="0"/>
            </w:tcBorders>
            <w:shd w:val="clear" w:color="auto" w:fill="DEF6F7"/>
            <w:tcMar>
              <w:top w:w="20" w:type="dxa"/>
              <w:left w:w="20" w:type="dxa"/>
              <w:bottom w:w="72" w:type="dxa"/>
              <w:right w:w="20" w:type="dxa"/>
            </w:tcMar>
            <w:vAlign w:val="center"/>
          </w:tcPr>
          <w:p w14:paraId="0A530F96">
            <w:pPr>
              <w:pStyle w:val="25"/>
              <w:bidi w:val="0"/>
              <w:rPr>
                <w:rFonts w:hint="eastAsia" w:eastAsia="仿宋_GB2312"/>
                <w:highlight w:val="none"/>
                <w:lang w:eastAsia="zh-CN"/>
              </w:rPr>
            </w:pPr>
            <w:r>
              <w:rPr>
                <w:rFonts w:hint="eastAsia"/>
                <w:b w:val="0"/>
                <w:bCs/>
                <w:highlight w:val="none"/>
                <w:lang w:eastAsia="zh-CN"/>
              </w:rPr>
              <w:t>绿色农产品综合物流中心</w:t>
            </w:r>
          </w:p>
        </w:tc>
        <w:tc>
          <w:tcPr>
            <w:tcW w:w="894" w:type="pct"/>
            <w:tcBorders>
              <w:top w:val="single" w:color="53CED5" w:sz="24" w:space="0"/>
            </w:tcBorders>
            <w:shd w:val="clear" w:color="auto" w:fill="DEF6F7"/>
            <w:tcMar>
              <w:top w:w="20" w:type="dxa"/>
              <w:left w:w="20" w:type="dxa"/>
              <w:bottom w:w="72" w:type="dxa"/>
              <w:right w:w="20" w:type="dxa"/>
            </w:tcMar>
            <w:vAlign w:val="center"/>
          </w:tcPr>
          <w:p w14:paraId="33635DA5">
            <w:pPr>
              <w:pStyle w:val="25"/>
              <w:bidi w:val="0"/>
              <w:rPr>
                <w:highlight w:val="none"/>
              </w:rPr>
            </w:pPr>
          </w:p>
        </w:tc>
        <w:tc>
          <w:tcPr>
            <w:tcW w:w="418" w:type="pct"/>
            <w:tcBorders>
              <w:top w:val="single" w:color="53CED5" w:sz="24" w:space="0"/>
            </w:tcBorders>
            <w:shd w:val="clear" w:color="auto" w:fill="DEF6F7"/>
            <w:tcMar>
              <w:top w:w="20" w:type="dxa"/>
              <w:left w:w="20" w:type="dxa"/>
              <w:bottom w:w="72" w:type="dxa"/>
              <w:right w:w="20" w:type="dxa"/>
            </w:tcMar>
            <w:vAlign w:val="center"/>
          </w:tcPr>
          <w:p w14:paraId="3EFDF47F">
            <w:pPr>
              <w:pStyle w:val="25"/>
              <w:bidi w:val="0"/>
              <w:rPr>
                <w:highlight w:val="none"/>
              </w:rPr>
            </w:pPr>
          </w:p>
        </w:tc>
        <w:tc>
          <w:tcPr>
            <w:tcW w:w="688" w:type="pct"/>
            <w:tcBorders>
              <w:top w:val="single" w:color="53CED5" w:sz="24" w:space="0"/>
            </w:tcBorders>
            <w:shd w:val="clear" w:color="auto" w:fill="DEF6F7"/>
            <w:tcMar>
              <w:top w:w="20" w:type="dxa"/>
              <w:left w:w="20" w:type="dxa"/>
              <w:bottom w:w="72" w:type="dxa"/>
              <w:right w:w="20" w:type="dxa"/>
            </w:tcMar>
            <w:vAlign w:val="center"/>
          </w:tcPr>
          <w:p w14:paraId="7CF058FB">
            <w:pPr>
              <w:pStyle w:val="25"/>
              <w:bidi w:val="0"/>
              <w:rPr>
                <w:highlight w:val="none"/>
              </w:rPr>
            </w:pPr>
            <w:r>
              <w:rPr>
                <w:rFonts w:hint="eastAsia"/>
                <w:b w:val="0"/>
                <w:bCs/>
                <w:highlight w:val="none"/>
              </w:rPr>
              <w:t>√</w:t>
            </w:r>
          </w:p>
        </w:tc>
        <w:tc>
          <w:tcPr>
            <w:tcW w:w="565" w:type="pct"/>
            <w:tcBorders>
              <w:top w:val="single" w:color="53CED5" w:sz="24" w:space="0"/>
            </w:tcBorders>
            <w:shd w:val="clear" w:color="auto" w:fill="DEF6F7"/>
            <w:tcMar>
              <w:top w:w="20" w:type="dxa"/>
              <w:left w:w="20" w:type="dxa"/>
              <w:bottom w:w="72" w:type="dxa"/>
              <w:right w:w="20" w:type="dxa"/>
            </w:tcMar>
            <w:vAlign w:val="center"/>
          </w:tcPr>
          <w:p w14:paraId="048C2001">
            <w:pPr>
              <w:pStyle w:val="25"/>
              <w:bidi w:val="0"/>
              <w:rPr>
                <w:highlight w:val="none"/>
              </w:rPr>
            </w:pPr>
          </w:p>
        </w:tc>
        <w:tc>
          <w:tcPr>
            <w:tcW w:w="535" w:type="pct"/>
            <w:tcBorders>
              <w:top w:val="single" w:color="53CED5" w:sz="24" w:space="0"/>
            </w:tcBorders>
            <w:shd w:val="clear" w:color="auto" w:fill="DEF6F7"/>
            <w:tcMar>
              <w:top w:w="20" w:type="dxa"/>
              <w:left w:w="20" w:type="dxa"/>
              <w:bottom w:w="72" w:type="dxa"/>
              <w:right w:w="20" w:type="dxa"/>
            </w:tcMar>
            <w:vAlign w:val="center"/>
          </w:tcPr>
          <w:p w14:paraId="3C6CF3BA">
            <w:pPr>
              <w:pStyle w:val="25"/>
              <w:bidi w:val="0"/>
              <w:rPr>
                <w:highlight w:val="none"/>
              </w:rPr>
            </w:pPr>
            <w:r>
              <w:rPr>
                <w:rFonts w:hint="eastAsia"/>
                <w:b w:val="0"/>
                <w:bCs/>
                <w:highlight w:val="none"/>
              </w:rPr>
              <w:t>√</w:t>
            </w:r>
          </w:p>
        </w:tc>
        <w:tc>
          <w:tcPr>
            <w:tcW w:w="726" w:type="pct"/>
            <w:tcBorders>
              <w:top w:val="single" w:color="53CED5" w:sz="24" w:space="0"/>
            </w:tcBorders>
            <w:shd w:val="clear" w:color="auto" w:fill="DEF6F7"/>
            <w:tcMar>
              <w:top w:w="20" w:type="dxa"/>
              <w:left w:w="20" w:type="dxa"/>
              <w:bottom w:w="72" w:type="dxa"/>
              <w:right w:w="20" w:type="dxa"/>
            </w:tcMar>
            <w:vAlign w:val="center"/>
          </w:tcPr>
          <w:p w14:paraId="36B62FEF">
            <w:pPr>
              <w:pStyle w:val="25"/>
              <w:bidi w:val="0"/>
              <w:rPr>
                <w:highlight w:val="none"/>
              </w:rPr>
            </w:pPr>
            <w:r>
              <w:rPr>
                <w:rFonts w:hint="eastAsia"/>
                <w:b w:val="0"/>
                <w:bCs/>
                <w:highlight w:val="none"/>
              </w:rPr>
              <w:t>√</w:t>
            </w:r>
          </w:p>
        </w:tc>
      </w:tr>
      <w:tr w14:paraId="75C6F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blCellSpacing w:w="0" w:type="dxa"/>
        </w:trPr>
        <w:tc>
          <w:tcPr>
            <w:tcW w:w="1171" w:type="pct"/>
            <w:tcBorders>
              <w:top w:val="single" w:color="53CED5" w:sz="24" w:space="0"/>
            </w:tcBorders>
            <w:shd w:val="clear" w:color="auto" w:fill="FFFFFF"/>
            <w:tcMar>
              <w:top w:w="20" w:type="dxa"/>
              <w:left w:w="20" w:type="dxa"/>
              <w:bottom w:w="72" w:type="dxa"/>
              <w:right w:w="20" w:type="dxa"/>
            </w:tcMar>
            <w:vAlign w:val="center"/>
          </w:tcPr>
          <w:p w14:paraId="2617D569">
            <w:pPr>
              <w:pStyle w:val="25"/>
              <w:bidi w:val="0"/>
              <w:rPr>
                <w:rFonts w:hint="eastAsia" w:eastAsia="仿宋_GB2312"/>
                <w:highlight w:val="none"/>
                <w:lang w:eastAsia="zh-CN"/>
              </w:rPr>
            </w:pPr>
            <w:r>
              <w:rPr>
                <w:rFonts w:hint="eastAsia"/>
                <w:b w:val="0"/>
                <w:bCs/>
                <w:highlight w:val="none"/>
              </w:rPr>
              <w:t>章古台综合物流</w:t>
            </w:r>
            <w:r>
              <w:rPr>
                <w:rFonts w:hint="eastAsia"/>
                <w:b w:val="0"/>
                <w:bCs/>
                <w:highlight w:val="none"/>
                <w:lang w:eastAsia="zh-CN"/>
              </w:rPr>
              <w:t>中心</w:t>
            </w:r>
          </w:p>
        </w:tc>
        <w:tc>
          <w:tcPr>
            <w:tcW w:w="894" w:type="pct"/>
            <w:tcBorders>
              <w:top w:val="single" w:color="53CED5" w:sz="24" w:space="0"/>
            </w:tcBorders>
            <w:shd w:val="clear" w:color="auto" w:fill="FFFFFF"/>
            <w:tcMar>
              <w:top w:w="20" w:type="dxa"/>
              <w:left w:w="20" w:type="dxa"/>
              <w:bottom w:w="72" w:type="dxa"/>
              <w:right w:w="20" w:type="dxa"/>
            </w:tcMar>
            <w:vAlign w:val="center"/>
          </w:tcPr>
          <w:p w14:paraId="7C7F2912">
            <w:pPr>
              <w:pStyle w:val="25"/>
              <w:bidi w:val="0"/>
              <w:rPr>
                <w:highlight w:val="none"/>
              </w:rPr>
            </w:pPr>
            <w:r>
              <w:rPr>
                <w:rFonts w:hint="eastAsia"/>
                <w:b w:val="0"/>
                <w:bCs/>
                <w:highlight w:val="none"/>
              </w:rPr>
              <w:t>√</w:t>
            </w:r>
          </w:p>
        </w:tc>
        <w:tc>
          <w:tcPr>
            <w:tcW w:w="418" w:type="pct"/>
            <w:tcBorders>
              <w:top w:val="single" w:color="53CED5" w:sz="24" w:space="0"/>
            </w:tcBorders>
            <w:shd w:val="clear" w:color="auto" w:fill="FFFFFF"/>
            <w:tcMar>
              <w:top w:w="20" w:type="dxa"/>
              <w:left w:w="20" w:type="dxa"/>
              <w:bottom w:w="72" w:type="dxa"/>
              <w:right w:w="20" w:type="dxa"/>
            </w:tcMar>
            <w:vAlign w:val="center"/>
          </w:tcPr>
          <w:p w14:paraId="7025F52E">
            <w:pPr>
              <w:pStyle w:val="25"/>
              <w:bidi w:val="0"/>
              <w:rPr>
                <w:highlight w:val="none"/>
              </w:rPr>
            </w:pPr>
            <w:r>
              <w:rPr>
                <w:rFonts w:hint="eastAsia"/>
                <w:b w:val="0"/>
                <w:bCs/>
                <w:highlight w:val="none"/>
              </w:rPr>
              <w:t>√</w:t>
            </w:r>
          </w:p>
        </w:tc>
        <w:tc>
          <w:tcPr>
            <w:tcW w:w="688" w:type="pct"/>
            <w:tcBorders>
              <w:top w:val="single" w:color="53CED5" w:sz="24" w:space="0"/>
            </w:tcBorders>
            <w:shd w:val="clear" w:color="auto" w:fill="FFFFFF"/>
            <w:tcMar>
              <w:top w:w="20" w:type="dxa"/>
              <w:left w:w="20" w:type="dxa"/>
              <w:bottom w:w="72" w:type="dxa"/>
              <w:right w:w="20" w:type="dxa"/>
            </w:tcMar>
            <w:vAlign w:val="center"/>
          </w:tcPr>
          <w:p w14:paraId="0BEC4EF7">
            <w:pPr>
              <w:pStyle w:val="25"/>
              <w:bidi w:val="0"/>
              <w:rPr>
                <w:highlight w:val="none"/>
              </w:rPr>
            </w:pPr>
            <w:r>
              <w:rPr>
                <w:rFonts w:hint="eastAsia"/>
                <w:b w:val="0"/>
                <w:bCs/>
                <w:highlight w:val="none"/>
              </w:rPr>
              <w:t>√</w:t>
            </w:r>
          </w:p>
        </w:tc>
        <w:tc>
          <w:tcPr>
            <w:tcW w:w="565" w:type="pct"/>
            <w:tcBorders>
              <w:top w:val="single" w:color="53CED5" w:sz="24" w:space="0"/>
            </w:tcBorders>
            <w:shd w:val="clear" w:color="auto" w:fill="FFFFFF"/>
            <w:tcMar>
              <w:top w:w="20" w:type="dxa"/>
              <w:left w:w="20" w:type="dxa"/>
              <w:bottom w:w="72" w:type="dxa"/>
              <w:right w:w="20" w:type="dxa"/>
            </w:tcMar>
            <w:vAlign w:val="center"/>
          </w:tcPr>
          <w:p w14:paraId="41731E5F">
            <w:pPr>
              <w:pStyle w:val="25"/>
              <w:bidi w:val="0"/>
              <w:rPr>
                <w:highlight w:val="none"/>
              </w:rPr>
            </w:pPr>
            <w:r>
              <w:rPr>
                <w:rFonts w:hint="eastAsia"/>
                <w:b w:val="0"/>
                <w:bCs/>
                <w:highlight w:val="none"/>
              </w:rPr>
              <w:t>√</w:t>
            </w:r>
          </w:p>
        </w:tc>
        <w:tc>
          <w:tcPr>
            <w:tcW w:w="535" w:type="pct"/>
            <w:tcBorders>
              <w:top w:val="single" w:color="53CED5" w:sz="24" w:space="0"/>
            </w:tcBorders>
            <w:shd w:val="clear" w:color="auto" w:fill="FFFFFF"/>
            <w:tcMar>
              <w:top w:w="20" w:type="dxa"/>
              <w:left w:w="20" w:type="dxa"/>
              <w:bottom w:w="72" w:type="dxa"/>
              <w:right w:w="20" w:type="dxa"/>
            </w:tcMar>
            <w:vAlign w:val="center"/>
          </w:tcPr>
          <w:p w14:paraId="3D8AE35C">
            <w:pPr>
              <w:pStyle w:val="25"/>
              <w:bidi w:val="0"/>
              <w:rPr>
                <w:highlight w:val="none"/>
              </w:rPr>
            </w:pPr>
            <w:r>
              <w:rPr>
                <w:rFonts w:hint="eastAsia"/>
                <w:b w:val="0"/>
                <w:bCs/>
                <w:highlight w:val="none"/>
              </w:rPr>
              <w:t>√</w:t>
            </w:r>
          </w:p>
        </w:tc>
        <w:tc>
          <w:tcPr>
            <w:tcW w:w="726" w:type="pct"/>
            <w:tcBorders>
              <w:top w:val="single" w:color="53CED5" w:sz="24" w:space="0"/>
            </w:tcBorders>
            <w:shd w:val="clear" w:color="auto" w:fill="FFFFFF"/>
            <w:tcMar>
              <w:top w:w="20" w:type="dxa"/>
              <w:left w:w="20" w:type="dxa"/>
              <w:bottom w:w="72" w:type="dxa"/>
              <w:right w:w="20" w:type="dxa"/>
            </w:tcMar>
            <w:vAlign w:val="center"/>
          </w:tcPr>
          <w:p w14:paraId="3489DEDB">
            <w:pPr>
              <w:pStyle w:val="25"/>
              <w:bidi w:val="0"/>
              <w:rPr>
                <w:highlight w:val="none"/>
              </w:rPr>
            </w:pPr>
          </w:p>
        </w:tc>
      </w:tr>
      <w:tr w14:paraId="0992B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blCellSpacing w:w="0" w:type="dxa"/>
        </w:trPr>
        <w:tc>
          <w:tcPr>
            <w:tcW w:w="1171" w:type="pct"/>
            <w:tcBorders>
              <w:top w:val="single" w:color="53CED5" w:sz="24" w:space="0"/>
            </w:tcBorders>
            <w:shd w:val="clear" w:color="auto" w:fill="DEF6F7"/>
            <w:tcMar>
              <w:top w:w="20" w:type="dxa"/>
              <w:left w:w="20" w:type="dxa"/>
              <w:bottom w:w="72" w:type="dxa"/>
              <w:right w:w="20" w:type="dxa"/>
            </w:tcMar>
            <w:vAlign w:val="center"/>
          </w:tcPr>
          <w:p w14:paraId="2BE413F0">
            <w:pPr>
              <w:pStyle w:val="25"/>
              <w:bidi w:val="0"/>
              <w:rPr>
                <w:rFonts w:hint="eastAsia" w:eastAsia="仿宋_GB2312"/>
                <w:highlight w:val="none"/>
                <w:lang w:val="en-US" w:eastAsia="zh-CN"/>
              </w:rPr>
            </w:pPr>
            <w:r>
              <w:rPr>
                <w:rFonts w:hint="eastAsia"/>
                <w:b w:val="0"/>
                <w:bCs/>
                <w:highlight w:val="none"/>
              </w:rPr>
              <w:t>北方家</w:t>
            </w:r>
            <w:r>
              <w:rPr>
                <w:rFonts w:hint="eastAsia"/>
                <w:b w:val="0"/>
                <w:bCs/>
                <w:highlight w:val="none"/>
                <w:lang w:eastAsia="zh-CN"/>
              </w:rPr>
              <w:t>居</w:t>
            </w:r>
            <w:r>
              <w:rPr>
                <w:rFonts w:hint="eastAsia"/>
                <w:b w:val="0"/>
                <w:bCs/>
                <w:highlight w:val="none"/>
              </w:rPr>
              <w:t>建材物流</w:t>
            </w:r>
            <w:r>
              <w:rPr>
                <w:rFonts w:hint="eastAsia"/>
                <w:b w:val="0"/>
                <w:bCs/>
                <w:highlight w:val="none"/>
                <w:lang w:val="en-US" w:eastAsia="zh-CN"/>
              </w:rPr>
              <w:t>中心</w:t>
            </w:r>
          </w:p>
        </w:tc>
        <w:tc>
          <w:tcPr>
            <w:tcW w:w="894" w:type="pct"/>
            <w:tcBorders>
              <w:top w:val="single" w:color="53CED5" w:sz="24" w:space="0"/>
            </w:tcBorders>
            <w:shd w:val="clear" w:color="auto" w:fill="DEF6F7"/>
            <w:tcMar>
              <w:top w:w="20" w:type="dxa"/>
              <w:left w:w="20" w:type="dxa"/>
              <w:bottom w:w="72" w:type="dxa"/>
              <w:right w:w="20" w:type="dxa"/>
            </w:tcMar>
            <w:vAlign w:val="center"/>
          </w:tcPr>
          <w:p w14:paraId="55334B82">
            <w:pPr>
              <w:pStyle w:val="25"/>
              <w:bidi w:val="0"/>
              <w:rPr>
                <w:highlight w:val="none"/>
              </w:rPr>
            </w:pPr>
            <w:r>
              <w:rPr>
                <w:rFonts w:hint="eastAsia"/>
                <w:b w:val="0"/>
                <w:bCs/>
                <w:highlight w:val="none"/>
              </w:rPr>
              <w:t>√</w:t>
            </w:r>
          </w:p>
        </w:tc>
        <w:tc>
          <w:tcPr>
            <w:tcW w:w="418" w:type="pct"/>
            <w:tcBorders>
              <w:top w:val="single" w:color="53CED5" w:sz="24" w:space="0"/>
            </w:tcBorders>
            <w:shd w:val="clear" w:color="auto" w:fill="DEF6F7"/>
            <w:tcMar>
              <w:top w:w="20" w:type="dxa"/>
              <w:left w:w="20" w:type="dxa"/>
              <w:bottom w:w="72" w:type="dxa"/>
              <w:right w:w="20" w:type="dxa"/>
            </w:tcMar>
            <w:vAlign w:val="center"/>
          </w:tcPr>
          <w:p w14:paraId="7EB849CE">
            <w:pPr>
              <w:pStyle w:val="25"/>
              <w:bidi w:val="0"/>
              <w:rPr>
                <w:highlight w:val="none"/>
              </w:rPr>
            </w:pPr>
          </w:p>
        </w:tc>
        <w:tc>
          <w:tcPr>
            <w:tcW w:w="688" w:type="pct"/>
            <w:tcBorders>
              <w:top w:val="single" w:color="53CED5" w:sz="24" w:space="0"/>
            </w:tcBorders>
            <w:shd w:val="clear" w:color="auto" w:fill="DEF6F7"/>
            <w:tcMar>
              <w:top w:w="20" w:type="dxa"/>
              <w:left w:w="20" w:type="dxa"/>
              <w:bottom w:w="72" w:type="dxa"/>
              <w:right w:w="20" w:type="dxa"/>
            </w:tcMar>
            <w:vAlign w:val="center"/>
          </w:tcPr>
          <w:p w14:paraId="303561D9">
            <w:pPr>
              <w:pStyle w:val="25"/>
              <w:bidi w:val="0"/>
              <w:rPr>
                <w:highlight w:val="none"/>
              </w:rPr>
            </w:pPr>
            <w:r>
              <w:rPr>
                <w:rFonts w:hint="eastAsia"/>
                <w:b w:val="0"/>
                <w:bCs/>
                <w:highlight w:val="none"/>
              </w:rPr>
              <w:t>√</w:t>
            </w:r>
          </w:p>
        </w:tc>
        <w:tc>
          <w:tcPr>
            <w:tcW w:w="565" w:type="pct"/>
            <w:tcBorders>
              <w:top w:val="single" w:color="53CED5" w:sz="24" w:space="0"/>
            </w:tcBorders>
            <w:shd w:val="clear" w:color="auto" w:fill="DEF6F7"/>
            <w:tcMar>
              <w:top w:w="20" w:type="dxa"/>
              <w:left w:w="20" w:type="dxa"/>
              <w:bottom w:w="72" w:type="dxa"/>
              <w:right w:w="20" w:type="dxa"/>
            </w:tcMar>
            <w:vAlign w:val="center"/>
          </w:tcPr>
          <w:p w14:paraId="2C29231D">
            <w:pPr>
              <w:pStyle w:val="25"/>
              <w:bidi w:val="0"/>
              <w:rPr>
                <w:highlight w:val="none"/>
              </w:rPr>
            </w:pPr>
            <w:r>
              <w:rPr>
                <w:rFonts w:hint="eastAsia"/>
                <w:b w:val="0"/>
                <w:bCs/>
                <w:highlight w:val="none"/>
              </w:rPr>
              <w:t>√</w:t>
            </w:r>
          </w:p>
        </w:tc>
        <w:tc>
          <w:tcPr>
            <w:tcW w:w="535" w:type="pct"/>
            <w:tcBorders>
              <w:top w:val="single" w:color="53CED5" w:sz="24" w:space="0"/>
            </w:tcBorders>
            <w:shd w:val="clear" w:color="auto" w:fill="DEF6F7"/>
            <w:tcMar>
              <w:top w:w="20" w:type="dxa"/>
              <w:left w:w="20" w:type="dxa"/>
              <w:bottom w:w="72" w:type="dxa"/>
              <w:right w:w="20" w:type="dxa"/>
            </w:tcMar>
            <w:vAlign w:val="center"/>
          </w:tcPr>
          <w:p w14:paraId="26DC532D">
            <w:pPr>
              <w:pStyle w:val="25"/>
              <w:bidi w:val="0"/>
              <w:rPr>
                <w:highlight w:val="none"/>
              </w:rPr>
            </w:pPr>
          </w:p>
        </w:tc>
        <w:tc>
          <w:tcPr>
            <w:tcW w:w="726" w:type="pct"/>
            <w:tcBorders>
              <w:top w:val="single" w:color="53CED5" w:sz="24" w:space="0"/>
            </w:tcBorders>
            <w:shd w:val="clear" w:color="auto" w:fill="DEF6F7"/>
            <w:tcMar>
              <w:top w:w="20" w:type="dxa"/>
              <w:left w:w="20" w:type="dxa"/>
              <w:bottom w:w="72" w:type="dxa"/>
              <w:right w:w="20" w:type="dxa"/>
            </w:tcMar>
            <w:vAlign w:val="center"/>
          </w:tcPr>
          <w:p w14:paraId="265F6E81">
            <w:pPr>
              <w:pStyle w:val="25"/>
              <w:bidi w:val="0"/>
              <w:rPr>
                <w:highlight w:val="none"/>
              </w:rPr>
            </w:pPr>
          </w:p>
        </w:tc>
      </w:tr>
    </w:tbl>
    <w:p w14:paraId="129D9DA4">
      <w:pPr>
        <w:pStyle w:val="11"/>
        <w:bidi w:val="0"/>
      </w:pPr>
    </w:p>
    <w:p w14:paraId="40705EF6">
      <w:pPr>
        <w:pStyle w:val="11"/>
        <w:bidi w:val="0"/>
      </w:pPr>
    </w:p>
    <w:p w14:paraId="6D43C26F">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表 \* ARABIC \s 1 </w:instrText>
      </w:r>
      <w:r>
        <w:fldChar w:fldCharType="separate"/>
      </w:r>
      <w:r>
        <w:t>3</w:t>
      </w:r>
      <w:r>
        <w:fldChar w:fldCharType="end"/>
      </w:r>
      <w:r>
        <w:rPr>
          <w:rFonts w:hint="eastAsia"/>
          <w:lang w:val="en-US" w:eastAsia="zh-CN"/>
        </w:rPr>
        <w:t xml:space="preserve"> </w:t>
      </w:r>
      <w:r>
        <w:rPr>
          <w:rFonts w:hint="eastAsia"/>
          <w:highlight w:val="none"/>
          <w:lang w:val="en-US" w:eastAsia="zh-CN"/>
        </w:rPr>
        <w:t>二级物流节点表</w:t>
      </w:r>
    </w:p>
    <w:tbl>
      <w:tblPr>
        <w:tblStyle w:val="20"/>
        <w:tblW w:w="4998"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75"/>
        <w:gridCol w:w="2873"/>
        <w:gridCol w:w="1140"/>
        <w:gridCol w:w="1140"/>
        <w:gridCol w:w="805"/>
        <w:gridCol w:w="805"/>
        <w:gridCol w:w="805"/>
      </w:tblGrid>
      <w:tr w14:paraId="29A9E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0" w:hRule="atLeast"/>
          <w:tblCellSpacing w:w="0" w:type="dxa"/>
        </w:trPr>
        <w:tc>
          <w:tcPr>
            <w:tcW w:w="465" w:type="pct"/>
            <w:tcBorders>
              <w:top w:val="single" w:color="53CED5" w:sz="24" w:space="0"/>
            </w:tcBorders>
            <w:shd w:val="clear" w:color="auto" w:fill="53CED5"/>
            <w:tcMar>
              <w:top w:w="20" w:type="dxa"/>
              <w:left w:w="20" w:type="dxa"/>
              <w:bottom w:w="72" w:type="dxa"/>
              <w:right w:w="20" w:type="dxa"/>
            </w:tcMar>
            <w:vAlign w:val="center"/>
          </w:tcPr>
          <w:p w14:paraId="300B481A">
            <w:pPr>
              <w:pStyle w:val="25"/>
              <w:bidi w:val="0"/>
              <w:rPr>
                <w:highlight w:val="none"/>
              </w:rPr>
            </w:pPr>
            <w:r>
              <w:rPr>
                <w:b w:val="0"/>
                <w:bCs/>
                <w:highlight w:val="none"/>
              </w:rPr>
              <w:t>编号</w:t>
            </w:r>
          </w:p>
        </w:tc>
        <w:tc>
          <w:tcPr>
            <w:tcW w:w="1721" w:type="pct"/>
            <w:tcBorders>
              <w:top w:val="single" w:color="53CED5" w:sz="24" w:space="0"/>
            </w:tcBorders>
            <w:shd w:val="clear" w:color="auto" w:fill="53CED5"/>
            <w:tcMar>
              <w:top w:w="20" w:type="dxa"/>
              <w:left w:w="20" w:type="dxa"/>
              <w:bottom w:w="72" w:type="dxa"/>
              <w:right w:w="20" w:type="dxa"/>
            </w:tcMar>
            <w:vAlign w:val="center"/>
          </w:tcPr>
          <w:p w14:paraId="6F62E606">
            <w:pPr>
              <w:pStyle w:val="25"/>
              <w:bidi w:val="0"/>
              <w:rPr>
                <w:rFonts w:hint="eastAsia" w:eastAsia="仿宋_GB2312"/>
                <w:highlight w:val="none"/>
                <w:lang w:val="en-US" w:eastAsia="zh-CN"/>
              </w:rPr>
            </w:pPr>
            <w:r>
              <w:rPr>
                <w:rFonts w:hint="eastAsia"/>
                <w:b w:val="0"/>
                <w:bCs/>
                <w:highlight w:val="none"/>
              </w:rPr>
              <w:t>县域物流</w:t>
            </w:r>
            <w:r>
              <w:rPr>
                <w:rFonts w:hint="eastAsia"/>
                <w:b w:val="0"/>
                <w:bCs/>
                <w:highlight w:val="none"/>
                <w:lang w:val="en-US" w:eastAsia="zh-CN"/>
              </w:rPr>
              <w:t>配送中心</w:t>
            </w:r>
          </w:p>
        </w:tc>
        <w:tc>
          <w:tcPr>
            <w:tcW w:w="683" w:type="pct"/>
            <w:tcBorders>
              <w:top w:val="single" w:color="53CED5" w:sz="24" w:space="0"/>
            </w:tcBorders>
            <w:shd w:val="clear" w:color="auto" w:fill="53CED5"/>
            <w:tcMar>
              <w:top w:w="20" w:type="dxa"/>
              <w:left w:w="20" w:type="dxa"/>
              <w:bottom w:w="72" w:type="dxa"/>
              <w:right w:w="20" w:type="dxa"/>
            </w:tcMar>
            <w:vAlign w:val="center"/>
          </w:tcPr>
          <w:p w14:paraId="7E2C87C9">
            <w:pPr>
              <w:pStyle w:val="25"/>
              <w:bidi w:val="0"/>
              <w:rPr>
                <w:highlight w:val="none"/>
              </w:rPr>
            </w:pPr>
            <w:r>
              <w:rPr>
                <w:rFonts w:hint="eastAsia"/>
                <w:b w:val="0"/>
                <w:bCs/>
                <w:highlight w:val="none"/>
              </w:rPr>
              <w:t>物流站点等级</w:t>
            </w:r>
          </w:p>
        </w:tc>
        <w:tc>
          <w:tcPr>
            <w:tcW w:w="683" w:type="pct"/>
            <w:tcBorders>
              <w:top w:val="single" w:color="53CED5" w:sz="24" w:space="0"/>
            </w:tcBorders>
            <w:shd w:val="clear" w:color="auto" w:fill="53CED5"/>
            <w:tcMar>
              <w:top w:w="20" w:type="dxa"/>
              <w:left w:w="20" w:type="dxa"/>
              <w:bottom w:w="72" w:type="dxa"/>
              <w:right w:w="20" w:type="dxa"/>
            </w:tcMar>
            <w:vAlign w:val="center"/>
          </w:tcPr>
          <w:p w14:paraId="0B92E724">
            <w:pPr>
              <w:pStyle w:val="25"/>
              <w:bidi w:val="0"/>
              <w:rPr>
                <w:highlight w:val="none"/>
              </w:rPr>
            </w:pPr>
            <w:r>
              <w:rPr>
                <w:rFonts w:hint="eastAsia"/>
                <w:b w:val="0"/>
                <w:bCs/>
                <w:highlight w:val="none"/>
              </w:rPr>
              <w:t>冷库</w:t>
            </w:r>
          </w:p>
        </w:tc>
        <w:tc>
          <w:tcPr>
            <w:tcW w:w="482" w:type="pct"/>
            <w:tcBorders>
              <w:top w:val="single" w:color="53CED5" w:sz="24" w:space="0"/>
            </w:tcBorders>
            <w:shd w:val="clear" w:color="auto" w:fill="53CED5"/>
            <w:tcMar>
              <w:top w:w="20" w:type="dxa"/>
              <w:left w:w="20" w:type="dxa"/>
              <w:bottom w:w="72" w:type="dxa"/>
              <w:right w:w="20" w:type="dxa"/>
            </w:tcMar>
            <w:vAlign w:val="center"/>
          </w:tcPr>
          <w:p w14:paraId="1A477C19">
            <w:pPr>
              <w:pStyle w:val="25"/>
              <w:bidi w:val="0"/>
              <w:rPr>
                <w:highlight w:val="none"/>
              </w:rPr>
            </w:pPr>
            <w:r>
              <w:rPr>
                <w:rFonts w:hint="eastAsia"/>
                <w:b w:val="0"/>
                <w:bCs/>
                <w:highlight w:val="none"/>
              </w:rPr>
              <w:t>客运驿站</w:t>
            </w:r>
          </w:p>
        </w:tc>
        <w:tc>
          <w:tcPr>
            <w:tcW w:w="482" w:type="pct"/>
            <w:tcBorders>
              <w:top w:val="single" w:color="53CED5" w:sz="24" w:space="0"/>
            </w:tcBorders>
            <w:shd w:val="clear" w:color="auto" w:fill="53CED5"/>
            <w:tcMar>
              <w:top w:w="20" w:type="dxa"/>
              <w:left w:w="20" w:type="dxa"/>
              <w:bottom w:w="72" w:type="dxa"/>
              <w:right w:w="20" w:type="dxa"/>
            </w:tcMar>
            <w:vAlign w:val="center"/>
          </w:tcPr>
          <w:p w14:paraId="6FB9CE56">
            <w:pPr>
              <w:pStyle w:val="25"/>
              <w:bidi w:val="0"/>
              <w:rPr>
                <w:highlight w:val="none"/>
              </w:rPr>
            </w:pPr>
            <w:r>
              <w:rPr>
                <w:rFonts w:hint="eastAsia"/>
                <w:b w:val="0"/>
                <w:bCs/>
                <w:highlight w:val="none"/>
              </w:rPr>
              <w:t>原材料堆放</w:t>
            </w:r>
          </w:p>
        </w:tc>
        <w:tc>
          <w:tcPr>
            <w:tcW w:w="482" w:type="pct"/>
            <w:tcBorders>
              <w:top w:val="single" w:color="53CED5" w:sz="24" w:space="0"/>
            </w:tcBorders>
            <w:shd w:val="clear" w:color="auto" w:fill="53CED5"/>
            <w:tcMar>
              <w:top w:w="20" w:type="dxa"/>
              <w:left w:w="20" w:type="dxa"/>
              <w:bottom w:w="72" w:type="dxa"/>
              <w:right w:w="20" w:type="dxa"/>
            </w:tcMar>
            <w:vAlign w:val="center"/>
          </w:tcPr>
          <w:p w14:paraId="740C359B">
            <w:pPr>
              <w:pStyle w:val="25"/>
              <w:bidi w:val="0"/>
              <w:rPr>
                <w:highlight w:val="none"/>
              </w:rPr>
            </w:pPr>
            <w:r>
              <w:rPr>
                <w:rFonts w:hint="eastAsia"/>
                <w:b w:val="0"/>
                <w:bCs/>
                <w:highlight w:val="none"/>
              </w:rPr>
              <w:t>民用物流点</w:t>
            </w:r>
          </w:p>
        </w:tc>
      </w:tr>
      <w:tr w14:paraId="52447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DEF6F7"/>
            <w:tcMar>
              <w:top w:w="20" w:type="dxa"/>
              <w:left w:w="20" w:type="dxa"/>
              <w:bottom w:w="72" w:type="dxa"/>
              <w:right w:w="20" w:type="dxa"/>
            </w:tcMar>
            <w:vAlign w:val="center"/>
          </w:tcPr>
          <w:p w14:paraId="616FCD48">
            <w:pPr>
              <w:pStyle w:val="25"/>
              <w:bidi w:val="0"/>
              <w:rPr>
                <w:highlight w:val="none"/>
              </w:rPr>
            </w:pPr>
            <w:r>
              <w:rPr>
                <w:rFonts w:hint="eastAsia"/>
                <w:b w:val="0"/>
                <w:bCs/>
                <w:highlight w:val="none"/>
              </w:rPr>
              <w:t>1</w:t>
            </w:r>
          </w:p>
        </w:tc>
        <w:tc>
          <w:tcPr>
            <w:tcW w:w="1721" w:type="pct"/>
            <w:tcBorders>
              <w:top w:val="single" w:color="53CED5" w:sz="24" w:space="0"/>
            </w:tcBorders>
            <w:shd w:val="clear" w:color="auto" w:fill="DEF6F7"/>
            <w:tcMar>
              <w:top w:w="20" w:type="dxa"/>
              <w:left w:w="20" w:type="dxa"/>
              <w:bottom w:w="72" w:type="dxa"/>
              <w:right w:w="20" w:type="dxa"/>
            </w:tcMar>
            <w:vAlign w:val="center"/>
          </w:tcPr>
          <w:p w14:paraId="515C0DCE">
            <w:pPr>
              <w:pStyle w:val="25"/>
              <w:bidi w:val="0"/>
              <w:rPr>
                <w:rFonts w:hint="eastAsia" w:eastAsia="仿宋_GB2312"/>
                <w:highlight w:val="none"/>
                <w:lang w:eastAsia="zh-CN"/>
              </w:rPr>
            </w:pPr>
            <w:r>
              <w:rPr>
                <w:rFonts w:hint="eastAsia"/>
                <w:b w:val="0"/>
                <w:bCs/>
                <w:highlight w:val="none"/>
              </w:rPr>
              <w:t>满堂红</w:t>
            </w:r>
            <w:r>
              <w:rPr>
                <w:rFonts w:hint="eastAsia"/>
                <w:b w:val="0"/>
                <w:bCs/>
                <w:highlight w:val="none"/>
                <w:lang w:eastAsia="zh-CN"/>
              </w:rPr>
              <w:t>农副产品</w:t>
            </w:r>
            <w:r>
              <w:rPr>
                <w:rFonts w:hint="eastAsia"/>
                <w:b w:val="0"/>
                <w:bCs/>
                <w:highlight w:val="none"/>
              </w:rPr>
              <w:t>物流</w:t>
            </w:r>
            <w:r>
              <w:rPr>
                <w:rFonts w:hint="eastAsia"/>
                <w:b w:val="0"/>
                <w:bCs/>
                <w:highlight w:val="none"/>
                <w:lang w:eastAsia="zh-CN"/>
              </w:rPr>
              <w:t>配送中心</w:t>
            </w:r>
          </w:p>
        </w:tc>
        <w:tc>
          <w:tcPr>
            <w:tcW w:w="683" w:type="pct"/>
            <w:tcBorders>
              <w:top w:val="single" w:color="53CED5" w:sz="24" w:space="0"/>
            </w:tcBorders>
            <w:shd w:val="clear" w:color="auto" w:fill="DEF6F7"/>
            <w:tcMar>
              <w:top w:w="20" w:type="dxa"/>
              <w:left w:w="20" w:type="dxa"/>
              <w:bottom w:w="72" w:type="dxa"/>
              <w:right w:w="20" w:type="dxa"/>
            </w:tcMar>
            <w:vAlign w:val="center"/>
          </w:tcPr>
          <w:p w14:paraId="0A1EA9A9">
            <w:pPr>
              <w:pStyle w:val="25"/>
              <w:bidi w:val="0"/>
              <w:rPr>
                <w:highlight w:val="none"/>
              </w:rPr>
            </w:pPr>
            <w:r>
              <w:rPr>
                <w:rFonts w:hint="eastAsia"/>
                <w:b w:val="0"/>
                <w:bCs/>
                <w:highlight w:val="none"/>
              </w:rPr>
              <w:t>二级</w:t>
            </w:r>
          </w:p>
        </w:tc>
        <w:tc>
          <w:tcPr>
            <w:tcW w:w="683" w:type="pct"/>
            <w:tcBorders>
              <w:top w:val="single" w:color="53CED5" w:sz="24" w:space="0"/>
            </w:tcBorders>
            <w:shd w:val="clear" w:color="auto" w:fill="DEF6F7"/>
            <w:tcMar>
              <w:top w:w="20" w:type="dxa"/>
              <w:left w:w="20" w:type="dxa"/>
              <w:bottom w:w="72" w:type="dxa"/>
              <w:right w:w="20" w:type="dxa"/>
            </w:tcMar>
            <w:vAlign w:val="center"/>
          </w:tcPr>
          <w:p w14:paraId="24CD2DBB">
            <w:pPr>
              <w:pStyle w:val="25"/>
              <w:bidi w:val="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269355B0">
            <w:pPr>
              <w:pStyle w:val="25"/>
              <w:bidi w:val="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6C727CA5">
            <w:pPr>
              <w:pStyle w:val="25"/>
              <w:bidi w:val="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697EF780">
            <w:pPr>
              <w:pStyle w:val="25"/>
              <w:bidi w:val="0"/>
              <w:rPr>
                <w:highlight w:val="none"/>
              </w:rPr>
            </w:pPr>
            <w:r>
              <w:rPr>
                <w:rFonts w:hint="eastAsia"/>
                <w:b w:val="0"/>
                <w:bCs/>
                <w:highlight w:val="none"/>
              </w:rPr>
              <w:t>√</w:t>
            </w:r>
          </w:p>
        </w:tc>
      </w:tr>
      <w:tr w14:paraId="2304A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FFFFFF"/>
            <w:tcMar>
              <w:top w:w="20" w:type="dxa"/>
              <w:left w:w="20" w:type="dxa"/>
              <w:bottom w:w="72" w:type="dxa"/>
              <w:right w:w="20" w:type="dxa"/>
            </w:tcMar>
            <w:vAlign w:val="center"/>
          </w:tcPr>
          <w:p w14:paraId="31AE53D7">
            <w:pPr>
              <w:pStyle w:val="25"/>
              <w:bidi w:val="0"/>
              <w:rPr>
                <w:highlight w:val="none"/>
              </w:rPr>
            </w:pPr>
            <w:r>
              <w:rPr>
                <w:rFonts w:hint="eastAsia"/>
                <w:b w:val="0"/>
                <w:bCs/>
                <w:highlight w:val="none"/>
              </w:rPr>
              <w:t>2</w:t>
            </w:r>
          </w:p>
        </w:tc>
        <w:tc>
          <w:tcPr>
            <w:tcW w:w="1721" w:type="pct"/>
            <w:tcBorders>
              <w:top w:val="single" w:color="53CED5" w:sz="24" w:space="0"/>
            </w:tcBorders>
            <w:shd w:val="clear" w:color="auto" w:fill="FFFFFF"/>
            <w:tcMar>
              <w:top w:w="20" w:type="dxa"/>
              <w:left w:w="20" w:type="dxa"/>
              <w:bottom w:w="72" w:type="dxa"/>
              <w:right w:w="20" w:type="dxa"/>
            </w:tcMar>
            <w:vAlign w:val="center"/>
          </w:tcPr>
          <w:p w14:paraId="2A1816C6">
            <w:pPr>
              <w:pStyle w:val="25"/>
              <w:bidi w:val="0"/>
              <w:rPr>
                <w:rFonts w:hint="eastAsia" w:eastAsia="仿宋_GB2312"/>
                <w:highlight w:val="none"/>
                <w:lang w:eastAsia="zh-CN"/>
              </w:rPr>
            </w:pPr>
            <w:r>
              <w:rPr>
                <w:rFonts w:hint="eastAsia"/>
                <w:b w:val="0"/>
                <w:bCs/>
                <w:highlight w:val="none"/>
              </w:rPr>
              <w:t>哈尔套农牧副产品物流</w:t>
            </w:r>
            <w:r>
              <w:rPr>
                <w:rFonts w:hint="eastAsia"/>
                <w:b w:val="0"/>
                <w:bCs/>
                <w:highlight w:val="none"/>
                <w:lang w:eastAsia="zh-CN"/>
              </w:rPr>
              <w:t>配送中心</w:t>
            </w:r>
          </w:p>
        </w:tc>
        <w:tc>
          <w:tcPr>
            <w:tcW w:w="683" w:type="pct"/>
            <w:tcBorders>
              <w:top w:val="single" w:color="53CED5" w:sz="24" w:space="0"/>
            </w:tcBorders>
            <w:shd w:val="clear" w:color="auto" w:fill="FFFFFF"/>
            <w:tcMar>
              <w:top w:w="20" w:type="dxa"/>
              <w:left w:w="20" w:type="dxa"/>
              <w:bottom w:w="72" w:type="dxa"/>
              <w:right w:w="20" w:type="dxa"/>
            </w:tcMar>
            <w:vAlign w:val="center"/>
          </w:tcPr>
          <w:p w14:paraId="3A71E27B">
            <w:pPr>
              <w:pStyle w:val="25"/>
              <w:bidi w:val="0"/>
              <w:rPr>
                <w:highlight w:val="none"/>
              </w:rPr>
            </w:pPr>
            <w:r>
              <w:rPr>
                <w:rFonts w:hint="eastAsia"/>
                <w:b w:val="0"/>
                <w:bCs/>
                <w:highlight w:val="none"/>
              </w:rPr>
              <w:t>二级</w:t>
            </w:r>
          </w:p>
        </w:tc>
        <w:tc>
          <w:tcPr>
            <w:tcW w:w="683" w:type="pct"/>
            <w:tcBorders>
              <w:top w:val="single" w:color="53CED5" w:sz="24" w:space="0"/>
            </w:tcBorders>
            <w:shd w:val="clear" w:color="auto" w:fill="FFFFFF"/>
            <w:tcMar>
              <w:top w:w="20" w:type="dxa"/>
              <w:left w:w="20" w:type="dxa"/>
              <w:bottom w:w="72" w:type="dxa"/>
              <w:right w:w="20" w:type="dxa"/>
            </w:tcMar>
            <w:vAlign w:val="center"/>
          </w:tcPr>
          <w:p w14:paraId="62383780">
            <w:pPr>
              <w:pStyle w:val="25"/>
              <w:bidi w:val="0"/>
              <w:rPr>
                <w:highlight w:val="none"/>
              </w:rPr>
            </w:pPr>
            <w:r>
              <w:rPr>
                <w:rFonts w:hint="eastAsia"/>
                <w:b w:val="0"/>
                <w:bCs/>
                <w:highlight w:val="none"/>
              </w:rPr>
              <w:t>√</w:t>
            </w:r>
          </w:p>
        </w:tc>
        <w:tc>
          <w:tcPr>
            <w:tcW w:w="482" w:type="pct"/>
            <w:tcBorders>
              <w:top w:val="single" w:color="53CED5" w:sz="24" w:space="0"/>
            </w:tcBorders>
            <w:shd w:val="clear" w:color="auto" w:fill="FFFFFF"/>
            <w:tcMar>
              <w:top w:w="20" w:type="dxa"/>
              <w:left w:w="20" w:type="dxa"/>
              <w:bottom w:w="72" w:type="dxa"/>
              <w:right w:w="20" w:type="dxa"/>
            </w:tcMar>
            <w:vAlign w:val="center"/>
          </w:tcPr>
          <w:p w14:paraId="62FB3E94">
            <w:pPr>
              <w:pStyle w:val="25"/>
              <w:bidi w:val="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07412E50">
            <w:pPr>
              <w:pStyle w:val="25"/>
              <w:bidi w:val="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1357EFFE">
            <w:pPr>
              <w:pStyle w:val="25"/>
              <w:bidi w:val="0"/>
              <w:rPr>
                <w:highlight w:val="none"/>
              </w:rPr>
            </w:pPr>
            <w:r>
              <w:rPr>
                <w:rFonts w:hint="eastAsia"/>
                <w:b w:val="0"/>
                <w:bCs/>
                <w:highlight w:val="none"/>
              </w:rPr>
              <w:t>√</w:t>
            </w:r>
          </w:p>
        </w:tc>
      </w:tr>
      <w:tr w14:paraId="3F594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DEF6F7"/>
            <w:tcMar>
              <w:top w:w="20" w:type="dxa"/>
              <w:left w:w="20" w:type="dxa"/>
              <w:bottom w:w="72" w:type="dxa"/>
              <w:right w:w="20" w:type="dxa"/>
            </w:tcMar>
            <w:vAlign w:val="center"/>
          </w:tcPr>
          <w:p w14:paraId="1A2E0C2C">
            <w:pPr>
              <w:pStyle w:val="25"/>
              <w:bidi w:val="0"/>
              <w:rPr>
                <w:highlight w:val="none"/>
              </w:rPr>
            </w:pPr>
            <w:r>
              <w:rPr>
                <w:rFonts w:hint="eastAsia"/>
                <w:b w:val="0"/>
                <w:bCs/>
                <w:highlight w:val="none"/>
              </w:rPr>
              <w:t>3</w:t>
            </w:r>
          </w:p>
        </w:tc>
        <w:tc>
          <w:tcPr>
            <w:tcW w:w="1721" w:type="pct"/>
            <w:tcBorders>
              <w:top w:val="single" w:color="53CED5" w:sz="24" w:space="0"/>
            </w:tcBorders>
            <w:shd w:val="clear" w:color="auto" w:fill="DEF6F7"/>
            <w:tcMar>
              <w:top w:w="20" w:type="dxa"/>
              <w:left w:w="20" w:type="dxa"/>
              <w:bottom w:w="72" w:type="dxa"/>
              <w:right w:w="20" w:type="dxa"/>
            </w:tcMar>
            <w:vAlign w:val="center"/>
          </w:tcPr>
          <w:p w14:paraId="6A510390">
            <w:pPr>
              <w:pStyle w:val="25"/>
              <w:bidi w:val="0"/>
              <w:ind w:firstLine="0" w:firstLineChars="0"/>
              <w:rPr>
                <w:rFonts w:hint="eastAsia" w:eastAsia="仿宋_GB2312"/>
                <w:highlight w:val="none"/>
                <w:lang w:eastAsia="zh-CN"/>
              </w:rPr>
            </w:pPr>
            <w:r>
              <w:rPr>
                <w:rFonts w:hint="eastAsia"/>
                <w:b w:val="0"/>
                <w:bCs/>
                <w:highlight w:val="none"/>
              </w:rPr>
              <w:t>五峰矿石原料物流</w:t>
            </w:r>
            <w:r>
              <w:rPr>
                <w:rFonts w:hint="eastAsia"/>
                <w:b w:val="0"/>
                <w:bCs/>
                <w:highlight w:val="none"/>
                <w:lang w:eastAsia="zh-CN"/>
              </w:rPr>
              <w:t>配送中心</w:t>
            </w:r>
          </w:p>
        </w:tc>
        <w:tc>
          <w:tcPr>
            <w:tcW w:w="683" w:type="pct"/>
            <w:tcBorders>
              <w:top w:val="single" w:color="53CED5" w:sz="24" w:space="0"/>
            </w:tcBorders>
            <w:shd w:val="clear" w:color="auto" w:fill="DEF6F7"/>
            <w:tcMar>
              <w:top w:w="20" w:type="dxa"/>
              <w:left w:w="20" w:type="dxa"/>
              <w:bottom w:w="72" w:type="dxa"/>
              <w:right w:w="20" w:type="dxa"/>
            </w:tcMar>
            <w:vAlign w:val="center"/>
          </w:tcPr>
          <w:p w14:paraId="41F6EE1A">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DEF6F7"/>
            <w:tcMar>
              <w:top w:w="20" w:type="dxa"/>
              <w:left w:w="20" w:type="dxa"/>
              <w:bottom w:w="72" w:type="dxa"/>
              <w:right w:w="20" w:type="dxa"/>
            </w:tcMar>
            <w:vAlign w:val="center"/>
          </w:tcPr>
          <w:p w14:paraId="0604761A">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6D319C4F">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52A49449">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12FFD892">
            <w:pPr>
              <w:pStyle w:val="25"/>
              <w:bidi w:val="0"/>
              <w:ind w:firstLine="0" w:firstLineChars="0"/>
              <w:rPr>
                <w:highlight w:val="none"/>
              </w:rPr>
            </w:pPr>
            <w:r>
              <w:rPr>
                <w:rFonts w:hint="eastAsia"/>
                <w:b w:val="0"/>
                <w:bCs/>
                <w:highlight w:val="none"/>
              </w:rPr>
              <w:t>√</w:t>
            </w:r>
          </w:p>
        </w:tc>
      </w:tr>
      <w:tr w14:paraId="0258B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0" w:hRule="atLeast"/>
          <w:tblCellSpacing w:w="0" w:type="dxa"/>
        </w:trPr>
        <w:tc>
          <w:tcPr>
            <w:tcW w:w="465" w:type="pct"/>
            <w:tcBorders>
              <w:top w:val="single" w:color="53CED5" w:sz="24" w:space="0"/>
            </w:tcBorders>
            <w:shd w:val="clear" w:color="auto" w:fill="FFFFFF"/>
            <w:tcMar>
              <w:top w:w="20" w:type="dxa"/>
              <w:left w:w="20" w:type="dxa"/>
              <w:bottom w:w="72" w:type="dxa"/>
              <w:right w:w="20" w:type="dxa"/>
            </w:tcMar>
            <w:vAlign w:val="center"/>
          </w:tcPr>
          <w:p w14:paraId="6C3BD4D8">
            <w:pPr>
              <w:pStyle w:val="25"/>
              <w:bidi w:val="0"/>
              <w:rPr>
                <w:highlight w:val="none"/>
              </w:rPr>
            </w:pPr>
            <w:r>
              <w:rPr>
                <w:rFonts w:hint="eastAsia"/>
                <w:b w:val="0"/>
                <w:bCs/>
                <w:highlight w:val="none"/>
              </w:rPr>
              <w:t>4</w:t>
            </w:r>
          </w:p>
        </w:tc>
        <w:tc>
          <w:tcPr>
            <w:tcW w:w="1721" w:type="pct"/>
            <w:tcBorders>
              <w:top w:val="single" w:color="53CED5" w:sz="24" w:space="0"/>
            </w:tcBorders>
            <w:shd w:val="clear" w:color="auto" w:fill="FFFFFF"/>
            <w:tcMar>
              <w:top w:w="20" w:type="dxa"/>
              <w:left w:w="20" w:type="dxa"/>
              <w:bottom w:w="72" w:type="dxa"/>
              <w:right w:w="20" w:type="dxa"/>
            </w:tcMar>
            <w:vAlign w:val="center"/>
          </w:tcPr>
          <w:p w14:paraId="194A79F3">
            <w:pPr>
              <w:pStyle w:val="25"/>
              <w:bidi w:val="0"/>
              <w:ind w:firstLine="0" w:firstLineChars="0"/>
              <w:rPr>
                <w:rFonts w:hint="eastAsia" w:eastAsia="仿宋_GB2312"/>
                <w:highlight w:val="none"/>
                <w:lang w:eastAsia="zh-CN"/>
              </w:rPr>
            </w:pPr>
            <w:r>
              <w:rPr>
                <w:rFonts w:hint="eastAsia"/>
                <w:b w:val="0"/>
                <w:bCs/>
                <w:highlight w:val="none"/>
              </w:rPr>
              <w:t>两家子绿色产品物流</w:t>
            </w:r>
            <w:r>
              <w:rPr>
                <w:rFonts w:hint="eastAsia"/>
                <w:b w:val="0"/>
                <w:bCs/>
                <w:highlight w:val="none"/>
                <w:lang w:eastAsia="zh-CN"/>
              </w:rPr>
              <w:t>配送中心</w:t>
            </w:r>
          </w:p>
        </w:tc>
        <w:tc>
          <w:tcPr>
            <w:tcW w:w="683" w:type="pct"/>
            <w:tcBorders>
              <w:top w:val="single" w:color="53CED5" w:sz="24" w:space="0"/>
            </w:tcBorders>
            <w:shd w:val="clear" w:color="auto" w:fill="FFFFFF"/>
            <w:tcMar>
              <w:top w:w="20" w:type="dxa"/>
              <w:left w:w="20" w:type="dxa"/>
              <w:bottom w:w="72" w:type="dxa"/>
              <w:right w:w="20" w:type="dxa"/>
            </w:tcMar>
            <w:vAlign w:val="center"/>
          </w:tcPr>
          <w:p w14:paraId="781A2A7B">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FFFFFF"/>
            <w:tcMar>
              <w:top w:w="20" w:type="dxa"/>
              <w:left w:w="20" w:type="dxa"/>
              <w:bottom w:w="72" w:type="dxa"/>
              <w:right w:w="20" w:type="dxa"/>
            </w:tcMar>
            <w:vAlign w:val="center"/>
          </w:tcPr>
          <w:p w14:paraId="1BF17405">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628172DA">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751E6A4B">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14069C41">
            <w:pPr>
              <w:pStyle w:val="25"/>
              <w:bidi w:val="0"/>
              <w:ind w:firstLine="0" w:firstLineChars="0"/>
              <w:rPr>
                <w:highlight w:val="none"/>
              </w:rPr>
            </w:pPr>
            <w:r>
              <w:rPr>
                <w:rFonts w:hint="eastAsia"/>
                <w:b w:val="0"/>
                <w:bCs/>
                <w:highlight w:val="none"/>
              </w:rPr>
              <w:t>√</w:t>
            </w:r>
          </w:p>
        </w:tc>
      </w:tr>
      <w:tr w14:paraId="505A6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DEF6F7"/>
            <w:tcMar>
              <w:top w:w="20" w:type="dxa"/>
              <w:left w:w="20" w:type="dxa"/>
              <w:bottom w:w="72" w:type="dxa"/>
              <w:right w:w="20" w:type="dxa"/>
            </w:tcMar>
            <w:vAlign w:val="center"/>
          </w:tcPr>
          <w:p w14:paraId="1015FA97">
            <w:pPr>
              <w:pStyle w:val="25"/>
              <w:bidi w:val="0"/>
              <w:rPr>
                <w:highlight w:val="none"/>
              </w:rPr>
            </w:pPr>
            <w:r>
              <w:rPr>
                <w:rFonts w:hint="eastAsia"/>
                <w:b w:val="0"/>
                <w:bCs/>
                <w:highlight w:val="none"/>
              </w:rPr>
              <w:t>5</w:t>
            </w:r>
          </w:p>
        </w:tc>
        <w:tc>
          <w:tcPr>
            <w:tcW w:w="1721" w:type="pct"/>
            <w:tcBorders>
              <w:top w:val="single" w:color="53CED5" w:sz="24" w:space="0"/>
            </w:tcBorders>
            <w:shd w:val="clear" w:color="auto" w:fill="DEF6F7"/>
            <w:tcMar>
              <w:top w:w="20" w:type="dxa"/>
              <w:left w:w="20" w:type="dxa"/>
              <w:bottom w:w="72" w:type="dxa"/>
              <w:right w:w="20" w:type="dxa"/>
            </w:tcMar>
            <w:vAlign w:val="center"/>
          </w:tcPr>
          <w:p w14:paraId="4354749E">
            <w:pPr>
              <w:pStyle w:val="25"/>
              <w:bidi w:val="0"/>
              <w:ind w:firstLine="0" w:firstLineChars="0"/>
              <w:rPr>
                <w:highlight w:val="none"/>
              </w:rPr>
            </w:pPr>
            <w:r>
              <w:rPr>
                <w:rFonts w:hint="eastAsia"/>
                <w:b w:val="0"/>
                <w:bCs/>
                <w:highlight w:val="none"/>
              </w:rPr>
              <w:t>冯家硅砂物流点</w:t>
            </w:r>
          </w:p>
        </w:tc>
        <w:tc>
          <w:tcPr>
            <w:tcW w:w="683" w:type="pct"/>
            <w:tcBorders>
              <w:top w:val="single" w:color="53CED5" w:sz="24" w:space="0"/>
            </w:tcBorders>
            <w:shd w:val="clear" w:color="auto" w:fill="DEF6F7"/>
            <w:tcMar>
              <w:top w:w="20" w:type="dxa"/>
              <w:left w:w="20" w:type="dxa"/>
              <w:bottom w:w="72" w:type="dxa"/>
              <w:right w:w="20" w:type="dxa"/>
            </w:tcMar>
            <w:vAlign w:val="center"/>
          </w:tcPr>
          <w:p w14:paraId="6C5D38B9">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DEF6F7"/>
            <w:tcMar>
              <w:top w:w="20" w:type="dxa"/>
              <w:left w:w="20" w:type="dxa"/>
              <w:bottom w:w="72" w:type="dxa"/>
              <w:right w:w="20" w:type="dxa"/>
            </w:tcMar>
            <w:vAlign w:val="center"/>
          </w:tcPr>
          <w:p w14:paraId="4B9F8F9B">
            <w:pPr>
              <w:pStyle w:val="25"/>
              <w:bidi w:val="0"/>
              <w:ind w:firstLine="0" w:firstLineChars="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1CA5893C">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41AB35BB">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24D09BFD">
            <w:pPr>
              <w:pStyle w:val="25"/>
              <w:bidi w:val="0"/>
              <w:ind w:firstLine="0" w:firstLineChars="0"/>
              <w:rPr>
                <w:highlight w:val="none"/>
              </w:rPr>
            </w:pPr>
            <w:r>
              <w:rPr>
                <w:rFonts w:hint="eastAsia"/>
                <w:b w:val="0"/>
                <w:bCs/>
                <w:highlight w:val="none"/>
              </w:rPr>
              <w:t>√</w:t>
            </w:r>
          </w:p>
        </w:tc>
      </w:tr>
      <w:tr w14:paraId="5AF41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FFFFFF"/>
            <w:tcMar>
              <w:top w:w="20" w:type="dxa"/>
              <w:left w:w="20" w:type="dxa"/>
              <w:bottom w:w="72" w:type="dxa"/>
              <w:right w:w="20" w:type="dxa"/>
            </w:tcMar>
            <w:vAlign w:val="center"/>
          </w:tcPr>
          <w:p w14:paraId="704A4FCD">
            <w:pPr>
              <w:pStyle w:val="25"/>
              <w:bidi w:val="0"/>
              <w:rPr>
                <w:highlight w:val="none"/>
              </w:rPr>
            </w:pPr>
            <w:r>
              <w:rPr>
                <w:rFonts w:hint="eastAsia"/>
                <w:b w:val="0"/>
                <w:bCs/>
                <w:highlight w:val="none"/>
              </w:rPr>
              <w:t>6</w:t>
            </w:r>
          </w:p>
        </w:tc>
        <w:tc>
          <w:tcPr>
            <w:tcW w:w="1721" w:type="pct"/>
            <w:tcBorders>
              <w:top w:val="single" w:color="53CED5" w:sz="24" w:space="0"/>
            </w:tcBorders>
            <w:shd w:val="clear" w:color="auto" w:fill="FFFFFF"/>
            <w:tcMar>
              <w:top w:w="20" w:type="dxa"/>
              <w:left w:w="20" w:type="dxa"/>
              <w:bottom w:w="72" w:type="dxa"/>
              <w:right w:w="20" w:type="dxa"/>
            </w:tcMar>
            <w:vAlign w:val="center"/>
          </w:tcPr>
          <w:p w14:paraId="5AD3C237">
            <w:pPr>
              <w:pStyle w:val="25"/>
              <w:bidi w:val="0"/>
              <w:ind w:firstLine="0" w:firstLineChars="0"/>
              <w:rPr>
                <w:rFonts w:hint="eastAsia" w:eastAsia="仿宋_GB2312"/>
                <w:highlight w:val="none"/>
                <w:lang w:eastAsia="zh-CN"/>
              </w:rPr>
            </w:pPr>
            <w:r>
              <w:rPr>
                <w:rFonts w:hint="eastAsia"/>
                <w:b w:val="0"/>
                <w:bCs/>
                <w:highlight w:val="none"/>
              </w:rPr>
              <w:t>二道河子农副产品物流</w:t>
            </w:r>
            <w:r>
              <w:rPr>
                <w:rFonts w:hint="eastAsia"/>
                <w:b w:val="0"/>
                <w:bCs/>
                <w:highlight w:val="none"/>
                <w:lang w:eastAsia="zh-CN"/>
              </w:rPr>
              <w:t>配送中心</w:t>
            </w:r>
          </w:p>
        </w:tc>
        <w:tc>
          <w:tcPr>
            <w:tcW w:w="683" w:type="pct"/>
            <w:tcBorders>
              <w:top w:val="single" w:color="53CED5" w:sz="24" w:space="0"/>
            </w:tcBorders>
            <w:shd w:val="clear" w:color="auto" w:fill="FFFFFF"/>
            <w:tcMar>
              <w:top w:w="20" w:type="dxa"/>
              <w:left w:w="20" w:type="dxa"/>
              <w:bottom w:w="72" w:type="dxa"/>
              <w:right w:w="20" w:type="dxa"/>
            </w:tcMar>
            <w:vAlign w:val="center"/>
          </w:tcPr>
          <w:p w14:paraId="614869E2">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FFFFFF"/>
            <w:tcMar>
              <w:top w:w="20" w:type="dxa"/>
              <w:left w:w="20" w:type="dxa"/>
              <w:bottom w:w="72" w:type="dxa"/>
              <w:right w:w="20" w:type="dxa"/>
            </w:tcMar>
            <w:vAlign w:val="center"/>
          </w:tcPr>
          <w:p w14:paraId="5EA4C8CA">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FFFFFF"/>
            <w:tcMar>
              <w:top w:w="20" w:type="dxa"/>
              <w:left w:w="20" w:type="dxa"/>
              <w:bottom w:w="72" w:type="dxa"/>
              <w:right w:w="20" w:type="dxa"/>
            </w:tcMar>
            <w:vAlign w:val="center"/>
          </w:tcPr>
          <w:p w14:paraId="218415A7">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08C60925">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2CB9B3D6">
            <w:pPr>
              <w:pStyle w:val="25"/>
              <w:bidi w:val="0"/>
              <w:ind w:firstLine="0" w:firstLineChars="0"/>
              <w:rPr>
                <w:highlight w:val="none"/>
              </w:rPr>
            </w:pPr>
            <w:r>
              <w:rPr>
                <w:rFonts w:hint="eastAsia"/>
                <w:b w:val="0"/>
                <w:bCs/>
                <w:highlight w:val="none"/>
              </w:rPr>
              <w:t>√</w:t>
            </w:r>
          </w:p>
        </w:tc>
      </w:tr>
      <w:tr w14:paraId="52178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DEF6F7"/>
            <w:tcMar>
              <w:top w:w="20" w:type="dxa"/>
              <w:left w:w="20" w:type="dxa"/>
              <w:bottom w:w="72" w:type="dxa"/>
              <w:right w:w="20" w:type="dxa"/>
            </w:tcMar>
            <w:vAlign w:val="center"/>
          </w:tcPr>
          <w:p w14:paraId="2588985E">
            <w:pPr>
              <w:pStyle w:val="25"/>
              <w:bidi w:val="0"/>
              <w:rPr>
                <w:highlight w:val="none"/>
              </w:rPr>
            </w:pPr>
            <w:r>
              <w:rPr>
                <w:rFonts w:hint="eastAsia"/>
                <w:b w:val="0"/>
                <w:bCs/>
                <w:highlight w:val="none"/>
              </w:rPr>
              <w:t>7</w:t>
            </w:r>
          </w:p>
        </w:tc>
        <w:tc>
          <w:tcPr>
            <w:tcW w:w="1721" w:type="pct"/>
            <w:tcBorders>
              <w:top w:val="single" w:color="53CED5" w:sz="24" w:space="0"/>
            </w:tcBorders>
            <w:shd w:val="clear" w:color="auto" w:fill="DEF6F7"/>
            <w:tcMar>
              <w:top w:w="20" w:type="dxa"/>
              <w:left w:w="20" w:type="dxa"/>
              <w:bottom w:w="72" w:type="dxa"/>
              <w:right w:w="20" w:type="dxa"/>
            </w:tcMar>
            <w:vAlign w:val="center"/>
          </w:tcPr>
          <w:p w14:paraId="0C3283B2">
            <w:pPr>
              <w:pStyle w:val="25"/>
              <w:bidi w:val="0"/>
              <w:ind w:firstLine="0" w:firstLineChars="0"/>
              <w:rPr>
                <w:rFonts w:hint="eastAsia" w:eastAsia="仿宋_GB2312"/>
                <w:highlight w:val="none"/>
                <w:lang w:eastAsia="zh-CN"/>
              </w:rPr>
            </w:pPr>
            <w:r>
              <w:rPr>
                <w:rFonts w:hint="eastAsia"/>
                <w:b w:val="0"/>
                <w:bCs/>
                <w:highlight w:val="none"/>
              </w:rPr>
              <w:t>后新</w:t>
            </w:r>
            <w:r>
              <w:rPr>
                <w:rFonts w:hint="eastAsia"/>
                <w:b w:val="0"/>
                <w:bCs/>
                <w:highlight w:val="none"/>
                <w:lang w:eastAsia="zh-CN"/>
              </w:rPr>
              <w:t>秋</w:t>
            </w:r>
            <w:r>
              <w:rPr>
                <w:rFonts w:hint="eastAsia"/>
                <w:b w:val="0"/>
                <w:bCs/>
                <w:highlight w:val="none"/>
              </w:rPr>
              <w:t>绿色产品物流</w:t>
            </w:r>
            <w:r>
              <w:rPr>
                <w:rFonts w:hint="eastAsia"/>
                <w:b w:val="0"/>
                <w:bCs/>
                <w:highlight w:val="none"/>
                <w:lang w:eastAsia="zh-CN"/>
              </w:rPr>
              <w:t>配送中心</w:t>
            </w:r>
          </w:p>
        </w:tc>
        <w:tc>
          <w:tcPr>
            <w:tcW w:w="683" w:type="pct"/>
            <w:tcBorders>
              <w:top w:val="single" w:color="53CED5" w:sz="24" w:space="0"/>
            </w:tcBorders>
            <w:shd w:val="clear" w:color="auto" w:fill="DEF6F7"/>
            <w:tcMar>
              <w:top w:w="20" w:type="dxa"/>
              <w:left w:w="20" w:type="dxa"/>
              <w:bottom w:w="72" w:type="dxa"/>
              <w:right w:w="20" w:type="dxa"/>
            </w:tcMar>
            <w:vAlign w:val="center"/>
          </w:tcPr>
          <w:p w14:paraId="6D8EAA2B">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DEF6F7"/>
            <w:tcMar>
              <w:top w:w="20" w:type="dxa"/>
              <w:left w:w="20" w:type="dxa"/>
              <w:bottom w:w="72" w:type="dxa"/>
              <w:right w:w="20" w:type="dxa"/>
            </w:tcMar>
            <w:vAlign w:val="center"/>
          </w:tcPr>
          <w:p w14:paraId="29D1D2E6">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66F95B6A">
            <w:pPr>
              <w:pStyle w:val="25"/>
              <w:bidi w:val="0"/>
              <w:ind w:firstLine="0" w:firstLineChars="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4B85429E">
            <w:pPr>
              <w:pStyle w:val="25"/>
              <w:bidi w:val="0"/>
              <w:ind w:firstLine="0" w:firstLineChars="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1E5C4F4C">
            <w:pPr>
              <w:pStyle w:val="25"/>
              <w:bidi w:val="0"/>
              <w:ind w:firstLine="0" w:firstLineChars="0"/>
              <w:rPr>
                <w:highlight w:val="none"/>
              </w:rPr>
            </w:pPr>
            <w:r>
              <w:rPr>
                <w:rFonts w:hint="eastAsia"/>
                <w:b w:val="0"/>
                <w:bCs/>
                <w:highlight w:val="none"/>
              </w:rPr>
              <w:t>√</w:t>
            </w:r>
          </w:p>
        </w:tc>
      </w:tr>
      <w:tr w14:paraId="38026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FFFFFF"/>
            <w:tcMar>
              <w:top w:w="20" w:type="dxa"/>
              <w:left w:w="20" w:type="dxa"/>
              <w:bottom w:w="72" w:type="dxa"/>
              <w:right w:w="20" w:type="dxa"/>
            </w:tcMar>
            <w:vAlign w:val="center"/>
          </w:tcPr>
          <w:p w14:paraId="7E38B199">
            <w:pPr>
              <w:pStyle w:val="25"/>
              <w:bidi w:val="0"/>
              <w:rPr>
                <w:highlight w:val="none"/>
              </w:rPr>
            </w:pPr>
            <w:r>
              <w:rPr>
                <w:rFonts w:hint="eastAsia"/>
                <w:b w:val="0"/>
                <w:bCs/>
                <w:highlight w:val="none"/>
              </w:rPr>
              <w:t>8</w:t>
            </w:r>
          </w:p>
        </w:tc>
        <w:tc>
          <w:tcPr>
            <w:tcW w:w="1721" w:type="pct"/>
            <w:tcBorders>
              <w:top w:val="single" w:color="53CED5" w:sz="24" w:space="0"/>
            </w:tcBorders>
            <w:shd w:val="clear" w:color="auto" w:fill="FFFFFF"/>
            <w:tcMar>
              <w:top w:w="20" w:type="dxa"/>
              <w:left w:w="20" w:type="dxa"/>
              <w:bottom w:w="72" w:type="dxa"/>
              <w:right w:w="20" w:type="dxa"/>
            </w:tcMar>
            <w:vAlign w:val="center"/>
          </w:tcPr>
          <w:p w14:paraId="38B3B001">
            <w:pPr>
              <w:pStyle w:val="25"/>
              <w:bidi w:val="0"/>
              <w:ind w:firstLine="0" w:firstLineChars="0"/>
              <w:rPr>
                <w:rFonts w:hint="eastAsia" w:eastAsia="仿宋_GB2312"/>
                <w:highlight w:val="none"/>
                <w:lang w:eastAsia="zh-CN"/>
              </w:rPr>
            </w:pPr>
            <w:r>
              <w:rPr>
                <w:rFonts w:hint="eastAsia"/>
                <w:b w:val="0"/>
                <w:bCs/>
                <w:highlight w:val="none"/>
              </w:rPr>
              <w:t>四合</w:t>
            </w:r>
            <w:r>
              <w:rPr>
                <w:rFonts w:hint="eastAsia"/>
                <w:b w:val="0"/>
                <w:bCs/>
                <w:highlight w:val="none"/>
                <w:lang w:eastAsia="zh-CN"/>
              </w:rPr>
              <w:t>城</w:t>
            </w:r>
            <w:r>
              <w:rPr>
                <w:rFonts w:hint="eastAsia"/>
                <w:b w:val="0"/>
                <w:bCs/>
                <w:highlight w:val="none"/>
              </w:rPr>
              <w:t>绿色产品物流</w:t>
            </w:r>
            <w:r>
              <w:rPr>
                <w:rFonts w:hint="eastAsia"/>
                <w:b w:val="0"/>
                <w:bCs/>
                <w:highlight w:val="none"/>
                <w:lang w:eastAsia="zh-CN"/>
              </w:rPr>
              <w:t>配送中心</w:t>
            </w:r>
          </w:p>
        </w:tc>
        <w:tc>
          <w:tcPr>
            <w:tcW w:w="683" w:type="pct"/>
            <w:tcBorders>
              <w:top w:val="single" w:color="53CED5" w:sz="24" w:space="0"/>
            </w:tcBorders>
            <w:shd w:val="clear" w:color="auto" w:fill="FFFFFF"/>
            <w:tcMar>
              <w:top w:w="20" w:type="dxa"/>
              <w:left w:w="20" w:type="dxa"/>
              <w:bottom w:w="72" w:type="dxa"/>
              <w:right w:w="20" w:type="dxa"/>
            </w:tcMar>
            <w:vAlign w:val="center"/>
          </w:tcPr>
          <w:p w14:paraId="3CFB49C6">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FFFFFF"/>
            <w:tcMar>
              <w:top w:w="20" w:type="dxa"/>
              <w:left w:w="20" w:type="dxa"/>
              <w:bottom w:w="72" w:type="dxa"/>
              <w:right w:w="20" w:type="dxa"/>
            </w:tcMar>
            <w:vAlign w:val="center"/>
          </w:tcPr>
          <w:p w14:paraId="535C219C">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FFFFFF"/>
            <w:tcMar>
              <w:top w:w="20" w:type="dxa"/>
              <w:left w:w="20" w:type="dxa"/>
              <w:bottom w:w="72" w:type="dxa"/>
              <w:right w:w="20" w:type="dxa"/>
            </w:tcMar>
            <w:vAlign w:val="center"/>
          </w:tcPr>
          <w:p w14:paraId="2D3789B7">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682988EA">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59EEA646">
            <w:pPr>
              <w:pStyle w:val="25"/>
              <w:bidi w:val="0"/>
              <w:ind w:firstLine="0" w:firstLineChars="0"/>
              <w:rPr>
                <w:highlight w:val="none"/>
              </w:rPr>
            </w:pPr>
            <w:r>
              <w:rPr>
                <w:rFonts w:hint="eastAsia"/>
                <w:b w:val="0"/>
                <w:bCs/>
                <w:highlight w:val="none"/>
              </w:rPr>
              <w:t>√</w:t>
            </w:r>
          </w:p>
        </w:tc>
      </w:tr>
      <w:tr w14:paraId="4C91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DEF6F7"/>
            <w:tcMar>
              <w:top w:w="20" w:type="dxa"/>
              <w:left w:w="20" w:type="dxa"/>
              <w:bottom w:w="72" w:type="dxa"/>
              <w:right w:w="20" w:type="dxa"/>
            </w:tcMar>
            <w:vAlign w:val="center"/>
          </w:tcPr>
          <w:p w14:paraId="2E1C35D3">
            <w:pPr>
              <w:pStyle w:val="25"/>
              <w:bidi w:val="0"/>
              <w:rPr>
                <w:highlight w:val="none"/>
              </w:rPr>
            </w:pPr>
            <w:r>
              <w:rPr>
                <w:rFonts w:hint="eastAsia"/>
                <w:b w:val="0"/>
                <w:bCs/>
                <w:highlight w:val="none"/>
              </w:rPr>
              <w:t>9</w:t>
            </w:r>
          </w:p>
        </w:tc>
        <w:tc>
          <w:tcPr>
            <w:tcW w:w="1721" w:type="pct"/>
            <w:tcBorders>
              <w:top w:val="single" w:color="53CED5" w:sz="24" w:space="0"/>
            </w:tcBorders>
            <w:shd w:val="clear" w:color="auto" w:fill="DEF6F7"/>
            <w:tcMar>
              <w:top w:w="20" w:type="dxa"/>
              <w:left w:w="20" w:type="dxa"/>
              <w:bottom w:w="72" w:type="dxa"/>
              <w:right w:w="20" w:type="dxa"/>
            </w:tcMar>
            <w:vAlign w:val="center"/>
          </w:tcPr>
          <w:p w14:paraId="2E6EDD45">
            <w:pPr>
              <w:pStyle w:val="25"/>
              <w:bidi w:val="0"/>
              <w:ind w:firstLine="0" w:firstLineChars="0"/>
              <w:rPr>
                <w:rFonts w:hint="eastAsia" w:eastAsia="仿宋_GB2312"/>
                <w:highlight w:val="none"/>
                <w:lang w:eastAsia="zh-CN"/>
              </w:rPr>
            </w:pPr>
            <w:r>
              <w:rPr>
                <w:rFonts w:hint="eastAsia"/>
                <w:b w:val="0"/>
                <w:bCs/>
                <w:highlight w:val="none"/>
              </w:rPr>
              <w:t>东六农副产品物流</w:t>
            </w:r>
            <w:r>
              <w:rPr>
                <w:rFonts w:hint="eastAsia"/>
                <w:b w:val="0"/>
                <w:bCs/>
                <w:highlight w:val="none"/>
                <w:lang w:eastAsia="zh-CN"/>
              </w:rPr>
              <w:t>配送中心</w:t>
            </w:r>
          </w:p>
        </w:tc>
        <w:tc>
          <w:tcPr>
            <w:tcW w:w="683" w:type="pct"/>
            <w:tcBorders>
              <w:top w:val="single" w:color="53CED5" w:sz="24" w:space="0"/>
            </w:tcBorders>
            <w:shd w:val="clear" w:color="auto" w:fill="DEF6F7"/>
            <w:tcMar>
              <w:top w:w="20" w:type="dxa"/>
              <w:left w:w="20" w:type="dxa"/>
              <w:bottom w:w="72" w:type="dxa"/>
              <w:right w:w="20" w:type="dxa"/>
            </w:tcMar>
            <w:vAlign w:val="center"/>
          </w:tcPr>
          <w:p w14:paraId="3B79BF00">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DEF6F7"/>
            <w:tcMar>
              <w:top w:w="20" w:type="dxa"/>
              <w:left w:w="20" w:type="dxa"/>
              <w:bottom w:w="72" w:type="dxa"/>
              <w:right w:w="20" w:type="dxa"/>
            </w:tcMar>
            <w:vAlign w:val="center"/>
          </w:tcPr>
          <w:p w14:paraId="0750AF15">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DEF6F7"/>
            <w:tcMar>
              <w:top w:w="20" w:type="dxa"/>
              <w:left w:w="20" w:type="dxa"/>
              <w:bottom w:w="72" w:type="dxa"/>
              <w:right w:w="20" w:type="dxa"/>
            </w:tcMar>
            <w:vAlign w:val="center"/>
          </w:tcPr>
          <w:p w14:paraId="6B294765">
            <w:pPr>
              <w:pStyle w:val="25"/>
              <w:bidi w:val="0"/>
              <w:ind w:firstLine="0" w:firstLineChars="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237B1581">
            <w:pPr>
              <w:pStyle w:val="25"/>
              <w:bidi w:val="0"/>
              <w:ind w:firstLine="0" w:firstLineChars="0"/>
              <w:rPr>
                <w:highlight w:val="none"/>
              </w:rPr>
            </w:pPr>
          </w:p>
        </w:tc>
        <w:tc>
          <w:tcPr>
            <w:tcW w:w="482" w:type="pct"/>
            <w:tcBorders>
              <w:top w:val="single" w:color="53CED5" w:sz="24" w:space="0"/>
            </w:tcBorders>
            <w:shd w:val="clear" w:color="auto" w:fill="DEF6F7"/>
            <w:tcMar>
              <w:top w:w="20" w:type="dxa"/>
              <w:left w:w="20" w:type="dxa"/>
              <w:bottom w:w="72" w:type="dxa"/>
              <w:right w:w="20" w:type="dxa"/>
            </w:tcMar>
            <w:vAlign w:val="center"/>
          </w:tcPr>
          <w:p w14:paraId="14899403">
            <w:pPr>
              <w:pStyle w:val="25"/>
              <w:bidi w:val="0"/>
              <w:ind w:firstLine="0" w:firstLineChars="0"/>
              <w:rPr>
                <w:highlight w:val="none"/>
              </w:rPr>
            </w:pPr>
            <w:r>
              <w:rPr>
                <w:rFonts w:hint="eastAsia"/>
                <w:b w:val="0"/>
                <w:bCs/>
                <w:highlight w:val="none"/>
              </w:rPr>
              <w:t>√</w:t>
            </w:r>
          </w:p>
        </w:tc>
      </w:tr>
      <w:tr w14:paraId="2BA8D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blCellSpacing w:w="0" w:type="dxa"/>
        </w:trPr>
        <w:tc>
          <w:tcPr>
            <w:tcW w:w="465" w:type="pct"/>
            <w:tcBorders>
              <w:top w:val="single" w:color="53CED5" w:sz="24" w:space="0"/>
            </w:tcBorders>
            <w:shd w:val="clear" w:color="auto" w:fill="FFFFFF"/>
            <w:tcMar>
              <w:top w:w="20" w:type="dxa"/>
              <w:left w:w="20" w:type="dxa"/>
              <w:bottom w:w="72" w:type="dxa"/>
              <w:right w:w="20" w:type="dxa"/>
            </w:tcMar>
            <w:vAlign w:val="center"/>
          </w:tcPr>
          <w:p w14:paraId="1AE7FB94">
            <w:pPr>
              <w:pStyle w:val="25"/>
              <w:bidi w:val="0"/>
              <w:rPr>
                <w:highlight w:val="none"/>
              </w:rPr>
            </w:pPr>
            <w:r>
              <w:rPr>
                <w:rFonts w:hint="eastAsia"/>
                <w:b w:val="0"/>
                <w:bCs/>
                <w:highlight w:val="none"/>
              </w:rPr>
              <w:t>10</w:t>
            </w:r>
          </w:p>
        </w:tc>
        <w:tc>
          <w:tcPr>
            <w:tcW w:w="1721" w:type="pct"/>
            <w:tcBorders>
              <w:top w:val="single" w:color="53CED5" w:sz="24" w:space="0"/>
            </w:tcBorders>
            <w:shd w:val="clear" w:color="auto" w:fill="FFFFFF"/>
            <w:tcMar>
              <w:top w:w="20" w:type="dxa"/>
              <w:left w:w="20" w:type="dxa"/>
              <w:bottom w:w="72" w:type="dxa"/>
              <w:right w:w="20" w:type="dxa"/>
            </w:tcMar>
            <w:vAlign w:val="center"/>
          </w:tcPr>
          <w:p w14:paraId="7BAECA82">
            <w:pPr>
              <w:pStyle w:val="25"/>
              <w:bidi w:val="0"/>
              <w:ind w:firstLine="0" w:firstLineChars="0"/>
              <w:rPr>
                <w:rFonts w:hint="eastAsia" w:eastAsia="仿宋_GB2312"/>
                <w:highlight w:val="none"/>
                <w:lang w:eastAsia="zh-CN"/>
              </w:rPr>
            </w:pPr>
            <w:r>
              <w:rPr>
                <w:rFonts w:hint="eastAsia"/>
                <w:b w:val="0"/>
                <w:bCs/>
                <w:highlight w:val="none"/>
              </w:rPr>
              <w:t>西六绿色产品物流</w:t>
            </w:r>
            <w:r>
              <w:rPr>
                <w:rFonts w:hint="eastAsia"/>
                <w:b w:val="0"/>
                <w:bCs/>
                <w:highlight w:val="none"/>
                <w:lang w:eastAsia="zh-CN"/>
              </w:rPr>
              <w:t>配送中心</w:t>
            </w:r>
          </w:p>
        </w:tc>
        <w:tc>
          <w:tcPr>
            <w:tcW w:w="683" w:type="pct"/>
            <w:tcBorders>
              <w:top w:val="single" w:color="53CED5" w:sz="24" w:space="0"/>
            </w:tcBorders>
            <w:shd w:val="clear" w:color="auto" w:fill="FFFFFF"/>
            <w:tcMar>
              <w:top w:w="20" w:type="dxa"/>
              <w:left w:w="20" w:type="dxa"/>
              <w:bottom w:w="72" w:type="dxa"/>
              <w:right w:w="20" w:type="dxa"/>
            </w:tcMar>
            <w:vAlign w:val="center"/>
          </w:tcPr>
          <w:p w14:paraId="7DC15D77">
            <w:pPr>
              <w:pStyle w:val="25"/>
              <w:bidi w:val="0"/>
              <w:ind w:firstLine="0" w:firstLineChars="0"/>
              <w:rPr>
                <w:highlight w:val="none"/>
              </w:rPr>
            </w:pPr>
            <w:r>
              <w:rPr>
                <w:rFonts w:hint="eastAsia"/>
                <w:b w:val="0"/>
                <w:bCs/>
                <w:highlight w:val="none"/>
              </w:rPr>
              <w:t>二级</w:t>
            </w:r>
          </w:p>
        </w:tc>
        <w:tc>
          <w:tcPr>
            <w:tcW w:w="683" w:type="pct"/>
            <w:tcBorders>
              <w:top w:val="single" w:color="53CED5" w:sz="24" w:space="0"/>
            </w:tcBorders>
            <w:shd w:val="clear" w:color="auto" w:fill="FFFFFF"/>
            <w:tcMar>
              <w:top w:w="20" w:type="dxa"/>
              <w:left w:w="20" w:type="dxa"/>
              <w:bottom w:w="72" w:type="dxa"/>
              <w:right w:w="20" w:type="dxa"/>
            </w:tcMar>
            <w:vAlign w:val="center"/>
          </w:tcPr>
          <w:p w14:paraId="3D8819BE">
            <w:pPr>
              <w:pStyle w:val="25"/>
              <w:bidi w:val="0"/>
              <w:ind w:firstLine="0" w:firstLineChars="0"/>
              <w:rPr>
                <w:highlight w:val="none"/>
              </w:rPr>
            </w:pPr>
            <w:r>
              <w:rPr>
                <w:rFonts w:hint="eastAsia"/>
                <w:b w:val="0"/>
                <w:bCs/>
                <w:highlight w:val="none"/>
              </w:rPr>
              <w:t>√</w:t>
            </w:r>
          </w:p>
        </w:tc>
        <w:tc>
          <w:tcPr>
            <w:tcW w:w="482" w:type="pct"/>
            <w:tcBorders>
              <w:top w:val="single" w:color="53CED5" w:sz="24" w:space="0"/>
            </w:tcBorders>
            <w:shd w:val="clear" w:color="auto" w:fill="FFFFFF"/>
            <w:tcMar>
              <w:top w:w="20" w:type="dxa"/>
              <w:left w:w="20" w:type="dxa"/>
              <w:bottom w:w="72" w:type="dxa"/>
              <w:right w:w="20" w:type="dxa"/>
            </w:tcMar>
            <w:vAlign w:val="center"/>
          </w:tcPr>
          <w:p w14:paraId="649004EC">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44F47757">
            <w:pPr>
              <w:pStyle w:val="25"/>
              <w:bidi w:val="0"/>
              <w:ind w:firstLine="0" w:firstLineChars="0"/>
              <w:rPr>
                <w:highlight w:val="none"/>
              </w:rPr>
            </w:pPr>
          </w:p>
        </w:tc>
        <w:tc>
          <w:tcPr>
            <w:tcW w:w="482" w:type="pct"/>
            <w:tcBorders>
              <w:top w:val="single" w:color="53CED5" w:sz="24" w:space="0"/>
            </w:tcBorders>
            <w:shd w:val="clear" w:color="auto" w:fill="FFFFFF"/>
            <w:tcMar>
              <w:top w:w="20" w:type="dxa"/>
              <w:left w:w="20" w:type="dxa"/>
              <w:bottom w:w="72" w:type="dxa"/>
              <w:right w:w="20" w:type="dxa"/>
            </w:tcMar>
            <w:vAlign w:val="center"/>
          </w:tcPr>
          <w:p w14:paraId="06FD58FB">
            <w:pPr>
              <w:pStyle w:val="25"/>
              <w:bidi w:val="0"/>
              <w:ind w:firstLine="0" w:firstLineChars="0"/>
              <w:rPr>
                <w:highlight w:val="none"/>
              </w:rPr>
            </w:pPr>
            <w:r>
              <w:rPr>
                <w:rFonts w:hint="eastAsia"/>
                <w:b w:val="0"/>
                <w:bCs/>
                <w:highlight w:val="none"/>
              </w:rPr>
              <w:t>√</w:t>
            </w:r>
          </w:p>
        </w:tc>
      </w:tr>
    </w:tbl>
    <w:p w14:paraId="1E53485F">
      <w:pPr>
        <w:ind w:left="0" w:leftChars="0" w:firstLine="0" w:firstLineChars="0"/>
        <w:rPr>
          <w:rFonts w:hint="eastAsia" w:eastAsia="仿宋_GB2312"/>
          <w:highlight w:val="none"/>
          <w:lang w:eastAsia="zh-CN"/>
        </w:rPr>
      </w:pPr>
      <w:r>
        <w:drawing>
          <wp:inline distT="0" distB="0" distL="114300" distR="114300">
            <wp:extent cx="5266690" cy="4106545"/>
            <wp:effectExtent l="0" t="0" r="3810" b="8255"/>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icPr>
                  <pic:blipFill>
                    <a:blip r:embed="rId19"/>
                    <a:stretch>
                      <a:fillRect/>
                    </a:stretch>
                  </pic:blipFill>
                  <pic:spPr>
                    <a:xfrm>
                      <a:off x="0" y="0"/>
                      <a:ext cx="5266690" cy="4106545"/>
                    </a:xfrm>
                    <a:prstGeom prst="rect">
                      <a:avLst/>
                    </a:prstGeom>
                    <a:noFill/>
                    <a:ln>
                      <a:noFill/>
                    </a:ln>
                  </pic:spPr>
                </pic:pic>
              </a:graphicData>
            </a:graphic>
          </wp:inline>
        </w:drawing>
      </w:r>
    </w:p>
    <w:p w14:paraId="2B59E87B">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rPr>
          <w:rFonts w:hint="eastAsia"/>
          <w:lang w:val="en-US" w:eastAsia="zh-CN"/>
        </w:rPr>
        <w:t xml:space="preserve"> </w:t>
      </w:r>
      <w:r>
        <w:rPr>
          <w:rFonts w:hint="eastAsia"/>
          <w:highlight w:val="none"/>
          <w:lang w:val="en-US" w:eastAsia="zh-CN"/>
        </w:rPr>
        <w:t>一、二级物流节点空间图</w:t>
      </w:r>
    </w:p>
    <w:p w14:paraId="65F25369">
      <w:pPr>
        <w:rPr>
          <w:rFonts w:hint="eastAsia"/>
          <w:highlight w:val="none"/>
          <w:lang w:val="en-US" w:eastAsia="zh-CN"/>
        </w:rPr>
      </w:pPr>
      <w:r>
        <w:rPr>
          <w:rFonts w:hint="eastAsia"/>
          <w:highlight w:val="none"/>
          <w:lang w:val="en-US" w:eastAsia="zh-CN"/>
        </w:rPr>
        <w:t>三级节点：畅通工业品下乡和农产品进城渠道，实现县城中转、乡镇分拨、村级配送功能。统筹全县城乡寄递物流服务，整合全县快递企业信息及配送资源，实现统仓共配、节约用地、降本增效。</w:t>
      </w:r>
    </w:p>
    <w:p w14:paraId="44AC5A4D">
      <w:pPr>
        <w:rPr>
          <w:rFonts w:hint="eastAsia"/>
          <w:highlight w:val="none"/>
          <w:lang w:val="en-US" w:eastAsia="zh-CN"/>
        </w:rPr>
      </w:pPr>
      <w:r>
        <w:rPr>
          <w:rFonts w:hint="eastAsia"/>
          <w:highlight w:val="none"/>
          <w:lang w:val="en-US" w:eastAsia="zh-CN"/>
        </w:rPr>
        <w:t>在中心城区以外的各乡镇设置乡镇物流服务站，鼓励利用现有的镇级客运站场、商超、邮政、供销服务点等存量资源，增加物流相关设施，拓展快件代收寄、快件自提、下乡消费品、进城农产品暂存等服务，提高寄递物流效率。</w:t>
      </w:r>
    </w:p>
    <w:p w14:paraId="3F9A93F9">
      <w:pPr>
        <w:rPr>
          <w:rFonts w:hint="eastAsia"/>
          <w:highlight w:val="none"/>
          <w:lang w:val="en-US" w:eastAsia="zh-CN"/>
        </w:rPr>
      </w:pPr>
      <w:r>
        <w:rPr>
          <w:rFonts w:hint="eastAsia"/>
          <w:highlight w:val="none"/>
          <w:lang w:val="en-US" w:eastAsia="zh-CN"/>
        </w:rPr>
        <w:t>设置村级寄递物流综合服务站点，作为县域寄递物流体系的基层网点，鼓励利用党群服务中心、商店、合作社等载体提供物流服务，实现运力整合、快递进村，打通农村物流“最后一公里”。</w:t>
      </w:r>
    </w:p>
    <w:p w14:paraId="5121C483">
      <w:pPr>
        <w:rPr>
          <w:rFonts w:hint="eastAsia"/>
          <w:highlight w:val="none"/>
          <w:lang w:val="en-US" w:eastAsia="zh-CN"/>
        </w:rPr>
      </w:pPr>
      <w:r>
        <w:rPr>
          <w:rFonts w:hint="eastAsia"/>
          <w:highlight w:val="none"/>
          <w:lang w:val="en-US" w:eastAsia="zh-CN"/>
        </w:rPr>
        <w:t>鼓励农业经营主体对接电商、快递、物流企业，发展农产品产地“电子商务＋产地仓＋快递物流”仓配融合模式，利用农村邮政快递网（站）点等推动“互联网+”农产品出村进城，提高农产品上行效率。</w:t>
      </w:r>
    </w:p>
    <w:p w14:paraId="260728F3">
      <w:pPr>
        <w:ind w:left="0" w:leftChars="0" w:firstLine="0" w:firstLineChars="0"/>
        <w:rPr>
          <w:highlight w:val="none"/>
        </w:rPr>
      </w:pPr>
      <w:r>
        <w:drawing>
          <wp:inline distT="0" distB="0" distL="114300" distR="114300">
            <wp:extent cx="5247005" cy="4108450"/>
            <wp:effectExtent l="0" t="0" r="0" b="0"/>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20"/>
                    <a:srcRect l="518"/>
                    <a:stretch>
                      <a:fillRect/>
                    </a:stretch>
                  </pic:blipFill>
                  <pic:spPr>
                    <a:xfrm>
                      <a:off x="0" y="0"/>
                      <a:ext cx="5247005" cy="4108450"/>
                    </a:xfrm>
                    <a:prstGeom prst="rect">
                      <a:avLst/>
                    </a:prstGeom>
                    <a:noFill/>
                    <a:ln>
                      <a:noFill/>
                    </a:ln>
                  </pic:spPr>
                </pic:pic>
              </a:graphicData>
            </a:graphic>
          </wp:inline>
        </w:drawing>
      </w:r>
    </w:p>
    <w:p w14:paraId="6B2DB41E">
      <w:pPr>
        <w:pStyle w:val="11"/>
        <w:bidi w:val="0"/>
        <w:rPr>
          <w:rFonts w:hint="default"/>
          <w:highlight w:val="none"/>
          <w:lang w:val="en-US" w:eastAsia="zh-CN"/>
        </w:rPr>
      </w:pPr>
      <w:bookmarkStart w:id="94" w:name="_Toc26971"/>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3</w:t>
      </w:r>
      <w:r>
        <w:fldChar w:fldCharType="end"/>
      </w:r>
      <w:r>
        <w:rPr>
          <w:rFonts w:hint="eastAsia"/>
          <w:lang w:val="en-US" w:eastAsia="zh-CN"/>
        </w:rPr>
        <w:t xml:space="preserve"> </w:t>
      </w:r>
      <w:r>
        <w:rPr>
          <w:rFonts w:hint="eastAsia"/>
          <w:highlight w:val="none"/>
          <w:lang w:val="en-US" w:eastAsia="zh-CN"/>
        </w:rPr>
        <w:t>农村主要三级节点空间图</w:t>
      </w:r>
      <w:bookmarkEnd w:id="94"/>
    </w:p>
    <w:p w14:paraId="233F261F">
      <w:pPr>
        <w:pStyle w:val="4"/>
        <w:bidi w:val="0"/>
        <w:rPr>
          <w:rFonts w:hint="default"/>
          <w:highlight w:val="none"/>
          <w:lang w:val="en-US" w:eastAsia="zh-CN"/>
        </w:rPr>
      </w:pPr>
      <w:bookmarkStart w:id="95" w:name="_Toc7355"/>
      <w:r>
        <w:rPr>
          <w:rFonts w:hint="eastAsia"/>
          <w:highlight w:val="none"/>
          <w:lang w:val="en-US" w:eastAsia="zh-CN"/>
        </w:rPr>
        <w:t>中心城区园区布局</w:t>
      </w:r>
      <w:bookmarkEnd w:id="95"/>
    </w:p>
    <w:p w14:paraId="7A8B89F8">
      <w:pPr>
        <w:rPr>
          <w:rFonts w:hint="eastAsia"/>
          <w:highlight w:val="none"/>
          <w:lang w:val="en-US" w:eastAsia="zh-CN"/>
        </w:rPr>
      </w:pPr>
      <w:r>
        <w:rPr>
          <w:rFonts w:hint="eastAsia"/>
          <w:highlight w:val="none"/>
          <w:lang w:val="en-US" w:eastAsia="zh-CN"/>
        </w:rPr>
        <w:t>中心城区统筹中心城区经济地理空间与民生需求、产业需求与设施配套、综合交通与城市集疏运条件等多项要素，完善规划，合理布局，重点谋划建设中心城区综合服务综合物流中心，优化提升开发区硅砂及铸造、装备制造物流中心，强化N个物流节点间相互联系和合作，形成综合物流、专业物流相互配套，民生保障水平不断提高的空间格局，以四处中心为依托，构建中心城区物流中心格局，形成“4+N”中心城区物流网络空间布局体系。</w:t>
      </w:r>
    </w:p>
    <w:p w14:paraId="1688688E">
      <w:pPr>
        <w:rPr>
          <w:rFonts w:hint="eastAsia"/>
          <w:highlight w:val="none"/>
          <w:lang w:val="en-US" w:eastAsia="zh-CN"/>
        </w:rPr>
      </w:pPr>
      <w:r>
        <w:rPr>
          <w:rFonts w:hint="eastAsia"/>
          <w:highlight w:val="none"/>
          <w:lang w:val="en-US" w:eastAsia="zh-CN"/>
        </w:rPr>
        <w:t>四中心：中心城区综合物流服务中心、绿色硅砂及装备制造物流中心、</w:t>
      </w:r>
      <w:bookmarkStart w:id="96" w:name="OLE_LINK2"/>
      <w:r>
        <w:rPr>
          <w:rFonts w:hint="eastAsia"/>
          <w:highlight w:val="none"/>
          <w:lang w:val="en-US" w:eastAsia="zh-CN"/>
        </w:rPr>
        <w:t>北方家居建材物流</w:t>
      </w:r>
      <w:bookmarkEnd w:id="96"/>
      <w:r>
        <w:rPr>
          <w:rFonts w:hint="eastAsia"/>
          <w:highlight w:val="none"/>
          <w:lang w:val="en-US" w:eastAsia="zh-CN"/>
        </w:rPr>
        <w:t>中心、绿色农产品综合物流中心。</w:t>
      </w:r>
    </w:p>
    <w:p w14:paraId="32898E05">
      <w:pPr>
        <w:rPr>
          <w:rFonts w:hint="eastAsia"/>
          <w:highlight w:val="none"/>
          <w:lang w:val="en-US" w:eastAsia="zh-CN"/>
        </w:rPr>
      </w:pPr>
      <w:r>
        <w:rPr>
          <w:rFonts w:hint="eastAsia"/>
          <w:highlight w:val="none"/>
          <w:lang w:val="en-US" w:eastAsia="zh-CN"/>
        </w:rPr>
        <w:t>多节点包括：豪德综合百货市场、城西汽贸市场、城东综合市场、电子商务站点。</w:t>
      </w:r>
    </w:p>
    <w:p w14:paraId="24687D94">
      <w:pPr>
        <w:pStyle w:val="24"/>
        <w:bidi w:val="0"/>
        <w:rPr>
          <w:highlight w:val="none"/>
        </w:rPr>
      </w:pPr>
      <w:r>
        <w:drawing>
          <wp:inline distT="0" distB="0" distL="114300" distR="114300">
            <wp:extent cx="5266690" cy="5600065"/>
            <wp:effectExtent l="0" t="0" r="3810" b="635"/>
            <wp:docPr id="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
                    <pic:cNvPicPr>
                      <a:picLocks noChangeAspect="1"/>
                    </pic:cNvPicPr>
                  </pic:nvPicPr>
                  <pic:blipFill>
                    <a:blip r:embed="rId21"/>
                    <a:stretch>
                      <a:fillRect/>
                    </a:stretch>
                  </pic:blipFill>
                  <pic:spPr>
                    <a:xfrm>
                      <a:off x="0" y="0"/>
                      <a:ext cx="5266690" cy="5600065"/>
                    </a:xfrm>
                    <a:prstGeom prst="rect">
                      <a:avLst/>
                    </a:prstGeom>
                    <a:noFill/>
                    <a:ln>
                      <a:noFill/>
                    </a:ln>
                  </pic:spPr>
                </pic:pic>
              </a:graphicData>
            </a:graphic>
          </wp:inline>
        </w:drawing>
      </w:r>
    </w:p>
    <w:p w14:paraId="6989504C">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4</w:t>
      </w:r>
      <w:r>
        <w:fldChar w:fldCharType="end"/>
      </w:r>
      <w:r>
        <w:rPr>
          <w:rFonts w:hint="eastAsia"/>
          <w:lang w:val="en-US" w:eastAsia="zh-CN"/>
        </w:rPr>
        <w:t xml:space="preserve"> </w:t>
      </w:r>
      <w:r>
        <w:rPr>
          <w:rFonts w:hint="eastAsia"/>
          <w:highlight w:val="none"/>
          <w:lang w:val="en-US" w:eastAsia="zh-CN"/>
        </w:rPr>
        <w:t>中心城区物流站点图</w:t>
      </w:r>
    </w:p>
    <w:p w14:paraId="07FC8D26">
      <w:pPr>
        <w:bidi w:val="0"/>
        <w:rPr>
          <w:rFonts w:hint="default"/>
          <w:highlight w:val="none"/>
          <w:lang w:val="en-US" w:eastAsia="zh-CN"/>
        </w:rPr>
      </w:pPr>
      <w:bookmarkStart w:id="97" w:name="_Toc26862"/>
      <w:r>
        <w:rPr>
          <w:rFonts w:hint="eastAsia"/>
          <w:highlight w:val="none"/>
          <w:lang w:val="en-US" w:eastAsia="zh-CN"/>
        </w:rPr>
        <w:t>1.</w:t>
      </w:r>
      <w:bookmarkEnd w:id="97"/>
      <w:r>
        <w:rPr>
          <w:rFonts w:hint="eastAsia"/>
          <w:highlight w:val="none"/>
          <w:lang w:val="en-US" w:eastAsia="zh-CN"/>
        </w:rPr>
        <w:t>中心城区综合服务物流中心</w:t>
      </w:r>
    </w:p>
    <w:p w14:paraId="1F567473">
      <w:pPr>
        <w:bidi w:val="0"/>
        <w:rPr>
          <w:rFonts w:hint="default"/>
          <w:highlight w:val="none"/>
          <w:lang w:val="en-US" w:eastAsia="zh-CN"/>
        </w:rPr>
      </w:pPr>
      <w:r>
        <w:rPr>
          <w:rFonts w:hint="default"/>
          <w:highlight w:val="none"/>
          <w:lang w:val="en-US" w:eastAsia="zh-CN"/>
        </w:rPr>
        <w:t>物流</w:t>
      </w:r>
      <w:r>
        <w:rPr>
          <w:rFonts w:hint="eastAsia"/>
          <w:highlight w:val="none"/>
          <w:lang w:val="en-US" w:eastAsia="zh-CN"/>
        </w:rPr>
        <w:t>中心</w:t>
      </w:r>
      <w:r>
        <w:rPr>
          <w:rFonts w:hint="default"/>
          <w:highlight w:val="none"/>
          <w:lang w:val="en-US" w:eastAsia="zh-CN"/>
        </w:rPr>
        <w:t>占地7.02公顷，紧邻101国道、304国道，周边</w:t>
      </w:r>
      <w:r>
        <w:rPr>
          <w:rFonts w:hint="eastAsia"/>
          <w:highlight w:val="none"/>
          <w:lang w:val="en-US" w:eastAsia="zh-CN"/>
        </w:rPr>
        <w:t>现分布</w:t>
      </w:r>
      <w:r>
        <w:rPr>
          <w:rFonts w:hint="default"/>
          <w:highlight w:val="none"/>
          <w:lang w:val="en-US" w:eastAsia="zh-CN"/>
        </w:rPr>
        <w:t>有加油加气站、便民检车线、大强汽修、洗车等；基地周边以汽车服务业态为主，基地范围内业态为汽车维修、汽车服务，现状建筑面积约1.3万平方米，部分建筑质量较好。</w:t>
      </w:r>
    </w:p>
    <w:p w14:paraId="54F64D18">
      <w:pPr>
        <w:bidi w:val="0"/>
        <w:rPr>
          <w:rFonts w:hint="default"/>
          <w:highlight w:val="none"/>
          <w:lang w:val="en-US" w:eastAsia="zh-CN"/>
        </w:rPr>
      </w:pPr>
      <w:r>
        <w:rPr>
          <w:rFonts w:hint="default"/>
          <w:highlight w:val="none"/>
          <w:lang w:val="en-US" w:eastAsia="zh-CN"/>
        </w:rPr>
        <w:t>依据《彰武县国土空间总体规划》，地块规划用地为物流仓储用地，周边为商业服务、工业用地。</w:t>
      </w:r>
      <w:r>
        <w:rPr>
          <w:rFonts w:hint="eastAsia"/>
          <w:highlight w:val="none"/>
          <w:lang w:val="en-US" w:eastAsia="zh-CN"/>
        </w:rPr>
        <w:t>未来</w:t>
      </w:r>
      <w:r>
        <w:rPr>
          <w:rFonts w:hint="default"/>
          <w:highlight w:val="none"/>
          <w:lang w:val="en-US" w:eastAsia="zh-CN"/>
        </w:rPr>
        <w:t>重点打造零碳排放的物流驿站及城市物流配送中心</w:t>
      </w:r>
      <w:r>
        <w:rPr>
          <w:rFonts w:hint="eastAsia"/>
          <w:highlight w:val="none"/>
          <w:lang w:val="en-US" w:eastAsia="zh-CN"/>
        </w:rPr>
        <w:t>，对J03、J06、J97、J08进行拆除处理，保留现西侧J01、J02、J04、J05用房，用于车辆清洗、保养加水等，并纳入本货运驿站使用范畴内，保留南侧J09、J10，并进行简单改造作为货运司机休息用房以及食堂。</w:t>
      </w:r>
    </w:p>
    <w:p w14:paraId="1B25CFDA">
      <w:pPr>
        <w:bidi w:val="0"/>
        <w:ind w:left="0" w:leftChars="0" w:firstLine="0" w:firstLineChars="0"/>
        <w:rPr>
          <w:highlight w:val="none"/>
        </w:rPr>
      </w:pPr>
      <w:r>
        <w:rPr>
          <w:highlight w:val="none"/>
        </w:rPr>
        <w:drawing>
          <wp:inline distT="0" distB="0" distL="114300" distR="114300">
            <wp:extent cx="2513330" cy="2160270"/>
            <wp:effectExtent l="0" t="0" r="1270" b="1143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22"/>
                    <a:srcRect r="18089"/>
                    <a:stretch>
                      <a:fillRect/>
                    </a:stretch>
                  </pic:blipFill>
                  <pic:spPr>
                    <a:xfrm>
                      <a:off x="0" y="0"/>
                      <a:ext cx="2513330" cy="2160270"/>
                    </a:xfrm>
                    <a:prstGeom prst="rect">
                      <a:avLst/>
                    </a:prstGeom>
                  </pic:spPr>
                </pic:pic>
              </a:graphicData>
            </a:graphic>
          </wp:inline>
        </w:drawing>
      </w:r>
      <w:r>
        <w:rPr>
          <w:rFonts w:hint="eastAsia"/>
          <w:highlight w:val="none"/>
          <w:lang w:val="en-US" w:eastAsia="zh-CN"/>
        </w:rPr>
        <w:t xml:space="preserve"> </w:t>
      </w:r>
      <w:r>
        <w:rPr>
          <w:highlight w:val="none"/>
        </w:rPr>
        <w:drawing>
          <wp:inline distT="0" distB="0" distL="114300" distR="114300">
            <wp:extent cx="2534285" cy="2160270"/>
            <wp:effectExtent l="0" t="0" r="18415" b="1143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23"/>
                    <a:stretch>
                      <a:fillRect/>
                    </a:stretch>
                  </pic:blipFill>
                  <pic:spPr>
                    <a:xfrm>
                      <a:off x="0" y="0"/>
                      <a:ext cx="2534285" cy="2160270"/>
                    </a:xfrm>
                    <a:prstGeom prst="rect">
                      <a:avLst/>
                    </a:prstGeom>
                  </pic:spPr>
                </pic:pic>
              </a:graphicData>
            </a:graphic>
          </wp:inline>
        </w:drawing>
      </w:r>
    </w:p>
    <w:p w14:paraId="39032048">
      <w:pPr>
        <w:pStyle w:val="24"/>
        <w:bidi w:val="0"/>
        <w:rPr>
          <w:rFonts w:hint="default"/>
          <w:highlight w:val="none"/>
          <w:lang w:val="en-US" w:eastAsia="zh-CN"/>
        </w:rPr>
      </w:pPr>
      <w:r>
        <w:rPr>
          <w:rFonts w:hint="eastAsia"/>
          <w:highlight w:val="none"/>
          <w:lang w:val="en-US" w:eastAsia="zh-CN"/>
        </w:rPr>
        <w:t>中心城区综合服务物流中心周边现状及用地图</w:t>
      </w:r>
    </w:p>
    <w:p w14:paraId="769DA9E1">
      <w:pPr>
        <w:bidi w:val="0"/>
        <w:ind w:left="0" w:leftChars="0" w:firstLine="0" w:firstLineChars="0"/>
        <w:rPr>
          <w:highlight w:val="none"/>
        </w:rPr>
      </w:pPr>
      <w:r>
        <w:rPr>
          <w:highlight w:val="none"/>
        </w:rPr>
        <w:drawing>
          <wp:inline distT="0" distB="0" distL="114300" distR="114300">
            <wp:extent cx="5144770" cy="2894330"/>
            <wp:effectExtent l="0" t="0" r="17780" b="127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24"/>
                    <a:stretch>
                      <a:fillRect/>
                    </a:stretch>
                  </pic:blipFill>
                  <pic:spPr>
                    <a:xfrm>
                      <a:off x="0" y="0"/>
                      <a:ext cx="5144770" cy="2894330"/>
                    </a:xfrm>
                    <a:prstGeom prst="rect">
                      <a:avLst/>
                    </a:prstGeom>
                  </pic:spPr>
                </pic:pic>
              </a:graphicData>
            </a:graphic>
          </wp:inline>
        </w:drawing>
      </w:r>
    </w:p>
    <w:p w14:paraId="4DAEE0A3">
      <w:pPr>
        <w:pStyle w:val="11"/>
        <w:bidi w:val="0"/>
        <w:rPr>
          <w:rFonts w:hint="default" w:eastAsia="仿宋_GB2312"/>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5</w:t>
      </w:r>
      <w:r>
        <w:fldChar w:fldCharType="end"/>
      </w:r>
      <w:r>
        <w:rPr>
          <w:rFonts w:hint="eastAsia"/>
          <w:lang w:val="en-US" w:eastAsia="zh-CN"/>
        </w:rPr>
        <w:t xml:space="preserve"> 中心城区综合服务物流中心</w:t>
      </w:r>
      <w:r>
        <w:rPr>
          <w:rFonts w:hint="eastAsia"/>
          <w:highlight w:val="none"/>
          <w:lang w:val="en-US" w:eastAsia="zh-CN"/>
        </w:rPr>
        <w:t>航拍图</w:t>
      </w:r>
    </w:p>
    <w:p w14:paraId="5B4D02CA">
      <w:pPr>
        <w:pStyle w:val="24"/>
        <w:bidi w:val="0"/>
        <w:rPr>
          <w:highlight w:val="none"/>
        </w:rPr>
      </w:pPr>
      <w:r>
        <w:rPr>
          <w:highlight w:val="none"/>
        </w:rPr>
        <w:drawing>
          <wp:inline distT="0" distB="0" distL="114300" distR="114300">
            <wp:extent cx="4729480" cy="3184525"/>
            <wp:effectExtent l="9525" t="9525" r="23495" b="2540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25"/>
                    <a:stretch>
                      <a:fillRect/>
                    </a:stretch>
                  </pic:blipFill>
                  <pic:spPr>
                    <a:xfrm>
                      <a:off x="0" y="0"/>
                      <a:ext cx="4729480" cy="3184525"/>
                    </a:xfrm>
                    <a:prstGeom prst="rect">
                      <a:avLst/>
                    </a:prstGeom>
                    <a:ln>
                      <a:solidFill>
                        <a:schemeClr val="tx1"/>
                      </a:solidFill>
                    </a:ln>
                  </pic:spPr>
                </pic:pic>
              </a:graphicData>
            </a:graphic>
          </wp:inline>
        </w:drawing>
      </w:r>
    </w:p>
    <w:p w14:paraId="45D56A0E">
      <w:pPr>
        <w:pStyle w:val="11"/>
        <w:bidi w:val="0"/>
        <w:rPr>
          <w:rFonts w:hint="default"/>
          <w:highlight w:val="none"/>
          <w:lang w:val="en-US"/>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6</w:t>
      </w:r>
      <w:r>
        <w:fldChar w:fldCharType="end"/>
      </w:r>
      <w:r>
        <w:rPr>
          <w:rFonts w:hint="eastAsia"/>
          <w:lang w:val="en-US" w:eastAsia="zh-CN"/>
        </w:rPr>
        <w:t xml:space="preserve"> 中心城区综合服务物流中心</w:t>
      </w:r>
      <w:r>
        <w:rPr>
          <w:rFonts w:hint="eastAsia"/>
          <w:highlight w:val="none"/>
          <w:lang w:val="en-US" w:eastAsia="zh-CN"/>
        </w:rPr>
        <w:t>现有房屋位置图</w:t>
      </w:r>
    </w:p>
    <w:p w14:paraId="24272B8A">
      <w:pPr>
        <w:keepNext w:val="0"/>
        <w:keepLines w:val="0"/>
        <w:pageBreakBefore w:val="0"/>
        <w:widowControl w:val="0"/>
        <w:kinsoku/>
        <w:wordWrap/>
        <w:overflowPunct/>
        <w:topLinePunct w:val="0"/>
        <w:autoSpaceDE/>
        <w:autoSpaceDN/>
        <w:bidi w:val="0"/>
        <w:adjustRightInd/>
        <w:snapToGrid/>
        <w:spacing w:line="240" w:lineRule="auto"/>
        <w:textAlignment w:val="auto"/>
        <w:rPr>
          <w:highlight w:val="none"/>
        </w:rPr>
      </w:pPr>
      <w:r>
        <w:rPr>
          <w:rFonts w:hint="eastAsia"/>
          <w:highlight w:val="none"/>
          <w:lang w:val="en-US" w:eastAsia="zh-CN"/>
        </w:rPr>
        <w:t>东侧整体规划为货运驿站及农产品分拣交易中心。打造101与304国道的客货车辆服务中心，</w:t>
      </w:r>
      <w:r>
        <w:rPr>
          <w:rFonts w:hint="eastAsia"/>
          <w:highlight w:val="none"/>
        </w:rPr>
        <w:t>实现城市驿站功能。实现新能源车辆充换电功能。</w:t>
      </w:r>
      <w:r>
        <w:rPr>
          <w:rFonts w:hint="eastAsia"/>
          <w:highlight w:val="none"/>
          <w:lang w:val="en-US" w:eastAsia="zh-CN"/>
        </w:rPr>
        <w:t>同时利用现有空地新建仓储、转运场站，</w:t>
      </w:r>
      <w:r>
        <w:rPr>
          <w:rFonts w:hint="eastAsia"/>
          <w:highlight w:val="none"/>
        </w:rPr>
        <w:t>实现中心城区小商品仓储功能。</w:t>
      </w:r>
    </w:p>
    <w:p w14:paraId="434F9A50">
      <w:pPr>
        <w:pStyle w:val="2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仿宋_GB2312"/>
          <w:highlight w:val="none"/>
          <w:lang w:eastAsia="zh-CN"/>
        </w:rPr>
      </w:pPr>
      <w:r>
        <w:rPr>
          <w:rFonts w:hint="eastAsia" w:eastAsia="仿宋_GB2312"/>
          <w:highlight w:val="none"/>
          <w:lang w:eastAsia="zh-CN"/>
        </w:rPr>
        <w:drawing>
          <wp:inline distT="0" distB="0" distL="114300" distR="114300">
            <wp:extent cx="5269230" cy="2853690"/>
            <wp:effectExtent l="9525" t="9525" r="17145" b="13335"/>
            <wp:docPr id="40" name="图片 40" descr="173540076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735400763299"/>
                    <pic:cNvPicPr>
                      <a:picLocks noChangeAspect="1"/>
                    </pic:cNvPicPr>
                  </pic:nvPicPr>
                  <pic:blipFill>
                    <a:blip r:embed="rId26"/>
                    <a:stretch>
                      <a:fillRect/>
                    </a:stretch>
                  </pic:blipFill>
                  <pic:spPr>
                    <a:xfrm>
                      <a:off x="0" y="0"/>
                      <a:ext cx="5269230" cy="2853690"/>
                    </a:xfrm>
                    <a:prstGeom prst="rect">
                      <a:avLst/>
                    </a:prstGeom>
                    <a:ln>
                      <a:solidFill>
                        <a:schemeClr val="tx1"/>
                      </a:solidFill>
                    </a:ln>
                  </pic:spPr>
                </pic:pic>
              </a:graphicData>
            </a:graphic>
          </wp:inline>
        </w:drawing>
      </w:r>
    </w:p>
    <w:p w14:paraId="50C67A32">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7</w:t>
      </w:r>
      <w:r>
        <w:fldChar w:fldCharType="end"/>
      </w:r>
      <w:r>
        <w:rPr>
          <w:rFonts w:hint="eastAsia"/>
          <w:lang w:val="en-US" w:eastAsia="zh-CN"/>
        </w:rPr>
        <w:t xml:space="preserve"> 中心城区综合服务物流中心</w:t>
      </w:r>
      <w:r>
        <w:rPr>
          <w:rFonts w:hint="eastAsia"/>
          <w:highlight w:val="none"/>
          <w:lang w:val="en-US" w:eastAsia="zh-CN"/>
        </w:rPr>
        <w:t>平面图</w:t>
      </w:r>
    </w:p>
    <w:p w14:paraId="044F0528">
      <w:pPr>
        <w:bidi w:val="0"/>
        <w:rPr>
          <w:rFonts w:hint="default"/>
          <w:highlight w:val="none"/>
          <w:lang w:val="en-US" w:eastAsia="zh-CN"/>
        </w:rPr>
      </w:pPr>
      <w:bookmarkStart w:id="98" w:name="_Toc4496"/>
      <w:r>
        <w:rPr>
          <w:rFonts w:hint="eastAsia"/>
          <w:highlight w:val="none"/>
          <w:lang w:val="en-US" w:eastAsia="zh-CN"/>
        </w:rPr>
        <w:t>2.</w:t>
      </w:r>
      <w:bookmarkEnd w:id="98"/>
      <w:r>
        <w:rPr>
          <w:rFonts w:hint="eastAsia"/>
          <w:highlight w:val="none"/>
          <w:lang w:val="en-US" w:eastAsia="zh-CN"/>
        </w:rPr>
        <w:t>绿色农产品综合物流中心</w:t>
      </w:r>
    </w:p>
    <w:p w14:paraId="3516D04D">
      <w:pPr>
        <w:rPr>
          <w:rFonts w:hint="default"/>
          <w:highlight w:val="none"/>
          <w:lang w:val="en-US" w:eastAsia="zh-CN"/>
        </w:rPr>
      </w:pPr>
      <w:r>
        <w:rPr>
          <w:rFonts w:hint="eastAsia"/>
          <w:highlight w:val="none"/>
          <w:lang w:val="en-US" w:eastAsia="zh-CN"/>
        </w:rPr>
        <w:t>绿色农产品综合物流中心总面积31.2万平方米。结合西六及整个彰武南部农产品优势，发展包装菜产业，引入双汇屠宰和肉类加工，面向辽中南城市群及京津冀城市群。南侧打造包装菜以及分拣中心，北部建设以仓储、冷库为主，推进从种子到餐桌全产业链发展，打造健康食品新名片，实现智慧物流仓储中心。</w:t>
      </w:r>
    </w:p>
    <w:p w14:paraId="4FD4DCC8">
      <w:pPr>
        <w:ind w:left="0" w:leftChars="0" w:firstLine="0" w:firstLineChars="0"/>
        <w:rPr>
          <w:highlight w:val="none"/>
        </w:rPr>
      </w:pPr>
      <w:r>
        <w:rPr>
          <w:highlight w:val="none"/>
        </w:rPr>
        <w:drawing>
          <wp:inline distT="0" distB="0" distL="114300" distR="114300">
            <wp:extent cx="5270500" cy="3694430"/>
            <wp:effectExtent l="0" t="0" r="6350" b="12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a:stretch>
                      <a:fillRect/>
                    </a:stretch>
                  </pic:blipFill>
                  <pic:spPr>
                    <a:xfrm>
                      <a:off x="0" y="0"/>
                      <a:ext cx="5270500" cy="3694430"/>
                    </a:xfrm>
                    <a:prstGeom prst="rect">
                      <a:avLst/>
                    </a:prstGeom>
                    <a:noFill/>
                    <a:ln>
                      <a:noFill/>
                    </a:ln>
                  </pic:spPr>
                </pic:pic>
              </a:graphicData>
            </a:graphic>
          </wp:inline>
        </w:drawing>
      </w:r>
    </w:p>
    <w:p w14:paraId="02A6F6F5">
      <w:pPr>
        <w:pStyle w:val="11"/>
        <w:bidi w:val="0"/>
        <w:rPr>
          <w:rFonts w:hint="default"/>
          <w:highlight w:val="none"/>
          <w:lang w:val="en-US" w:eastAsia="zh-CN"/>
        </w:rPr>
      </w:pPr>
      <w:bookmarkStart w:id="99" w:name="_Toc28526"/>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8</w:t>
      </w:r>
      <w:r>
        <w:fldChar w:fldCharType="end"/>
      </w:r>
      <w:r>
        <w:rPr>
          <w:rFonts w:hint="eastAsia"/>
          <w:lang w:val="en-US" w:eastAsia="zh-CN"/>
        </w:rPr>
        <w:t xml:space="preserve"> </w:t>
      </w:r>
      <w:r>
        <w:rPr>
          <w:rFonts w:hint="eastAsia"/>
          <w:highlight w:val="none"/>
          <w:lang w:val="en-US" w:eastAsia="zh-CN"/>
        </w:rPr>
        <w:t>绿色农产品综合物流中心周边土地利用图</w:t>
      </w:r>
      <w:bookmarkEnd w:id="99"/>
    </w:p>
    <w:p w14:paraId="28872884">
      <w:pPr>
        <w:pStyle w:val="24"/>
        <w:bidi w:val="0"/>
        <w:rPr>
          <w:rFonts w:hint="eastAsia" w:eastAsia="仿宋_GB2312"/>
          <w:highlight w:val="none"/>
          <w:lang w:eastAsia="zh-CN"/>
        </w:rPr>
      </w:pPr>
      <w:r>
        <w:rPr>
          <w:rFonts w:hint="eastAsia" w:eastAsia="仿宋_GB2312"/>
          <w:highlight w:val="none"/>
          <w:lang w:eastAsia="zh-CN"/>
        </w:rPr>
        <w:drawing>
          <wp:inline distT="0" distB="0" distL="114300" distR="114300">
            <wp:extent cx="5269230" cy="3698240"/>
            <wp:effectExtent l="0" t="0" r="7620" b="16510"/>
            <wp:docPr id="31" name="图片 31" descr="8023ebefb3b50305813f29c9e073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8023ebefb3b50305813f29c9e073b21"/>
                    <pic:cNvPicPr>
                      <a:picLocks noChangeAspect="1"/>
                    </pic:cNvPicPr>
                  </pic:nvPicPr>
                  <pic:blipFill>
                    <a:blip r:embed="rId28"/>
                    <a:srcRect l="6408" t="6877" r="6022" b="6229"/>
                    <a:stretch>
                      <a:fillRect/>
                    </a:stretch>
                  </pic:blipFill>
                  <pic:spPr>
                    <a:xfrm>
                      <a:off x="0" y="0"/>
                      <a:ext cx="5269230" cy="3698240"/>
                    </a:xfrm>
                    <a:prstGeom prst="rect">
                      <a:avLst/>
                    </a:prstGeom>
                  </pic:spPr>
                </pic:pic>
              </a:graphicData>
            </a:graphic>
          </wp:inline>
        </w:drawing>
      </w:r>
    </w:p>
    <w:p w14:paraId="4E444536">
      <w:pPr>
        <w:pStyle w:val="11"/>
        <w:bidi w:val="0"/>
        <w:rPr>
          <w:rFonts w:hint="eastAsia" w:eastAsia="仿宋_GB2312"/>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9</w:t>
      </w:r>
      <w:r>
        <w:fldChar w:fldCharType="end"/>
      </w:r>
      <w:r>
        <w:rPr>
          <w:rFonts w:hint="eastAsia"/>
          <w:lang w:val="en-US" w:eastAsia="zh-CN"/>
        </w:rPr>
        <w:t xml:space="preserve"> </w:t>
      </w:r>
      <w:r>
        <w:rPr>
          <w:rFonts w:hint="eastAsia"/>
          <w:highlight w:val="none"/>
          <w:lang w:val="en-US" w:eastAsia="zh-CN"/>
        </w:rPr>
        <w:t>绿色农产品综合物流中心平面图</w:t>
      </w:r>
    </w:p>
    <w:p w14:paraId="3031F8C2">
      <w:pPr>
        <w:bidi w:val="0"/>
        <w:rPr>
          <w:rFonts w:hint="default"/>
          <w:highlight w:val="none"/>
          <w:lang w:val="en-US" w:eastAsia="zh-CN"/>
        </w:rPr>
      </w:pPr>
      <w:bookmarkStart w:id="100" w:name="_Toc4148"/>
      <w:r>
        <w:rPr>
          <w:rFonts w:hint="eastAsia"/>
          <w:highlight w:val="none"/>
          <w:lang w:val="en-US" w:eastAsia="zh-CN"/>
        </w:rPr>
        <w:t>3.绿色硅砂及装备制造物流</w:t>
      </w:r>
      <w:bookmarkEnd w:id="100"/>
      <w:r>
        <w:rPr>
          <w:rFonts w:hint="eastAsia"/>
          <w:highlight w:val="none"/>
          <w:lang w:val="en-US" w:eastAsia="zh-CN"/>
        </w:rPr>
        <w:t>中心</w:t>
      </w:r>
    </w:p>
    <w:p w14:paraId="0D3433F6">
      <w:pPr>
        <w:rPr>
          <w:rFonts w:hint="eastAsia"/>
          <w:highlight w:val="none"/>
          <w:lang w:val="en-US" w:eastAsia="zh-CN"/>
        </w:rPr>
      </w:pPr>
      <w:r>
        <w:rPr>
          <w:rFonts w:hint="eastAsia"/>
          <w:highlight w:val="none"/>
          <w:lang w:val="en-US" w:eastAsia="zh-CN"/>
        </w:rPr>
        <w:t>总面积49.8万平方米。以原有粮库及工业开发区为基础。发展综合物流，兼具应急物流及货运驿站功能。打通物流专线、智慧物流、整合周边资源，打造连通沈阳—内蒙古，服务京津冀，远销全国的目标导向。</w:t>
      </w:r>
    </w:p>
    <w:p w14:paraId="7A511D97">
      <w:pPr>
        <w:rPr>
          <w:rFonts w:hint="eastAsia"/>
          <w:highlight w:val="none"/>
          <w:lang w:val="en-US" w:eastAsia="zh-CN"/>
        </w:rPr>
      </w:pPr>
      <w:r>
        <w:rPr>
          <w:rFonts w:hint="eastAsia"/>
          <w:highlight w:val="none"/>
          <w:lang w:val="en-US" w:eastAsia="zh-CN"/>
        </w:rPr>
        <w:t>硅砂发展策略：彰武拥有铁路运输基础，在过去几年中，彰武每年发送及到达货物超过30万吨。可以很大程度上规避铁路运输原始投资大，建设周期长的弊端。</w:t>
      </w:r>
    </w:p>
    <w:p w14:paraId="388CDC21">
      <w:pPr>
        <w:rPr>
          <w:rFonts w:hint="eastAsia"/>
          <w:highlight w:val="none"/>
          <w:lang w:val="en-US" w:eastAsia="zh-CN"/>
        </w:rPr>
      </w:pPr>
      <w:r>
        <w:rPr>
          <w:rFonts w:hint="eastAsia"/>
          <w:highlight w:val="none"/>
          <w:lang w:val="en-US" w:eastAsia="zh-CN"/>
        </w:rPr>
        <w:t>彰武硅砂品牌效应名声在外，是华晨宝马、奇瑞汽车、上柴、潍柴、二汽等知名企业的指定用砂基地，远销 20 多个省份。拥有较为稳定的市场。彰武及周边地区均有硅砂产品运输需求，且周边地区尚未进行系统的物流规划布局，彰武县如若能够提前实现打通物流专线，降低物流成本，那么建立区域硅砂资源集散中心的可能性将大幅提升。</w:t>
      </w:r>
    </w:p>
    <w:p w14:paraId="44D0551D">
      <w:pPr>
        <w:rPr>
          <w:rFonts w:hint="eastAsia"/>
          <w:highlight w:val="none"/>
          <w:lang w:val="en-US" w:eastAsia="zh-CN"/>
        </w:rPr>
      </w:pPr>
      <w:r>
        <w:rPr>
          <w:rFonts w:hint="eastAsia"/>
          <w:highlight w:val="none"/>
          <w:lang w:val="en-US" w:eastAsia="zh-CN"/>
        </w:rPr>
        <w:t>利用智能分析，优化物流路径和资源配置，提高物流效率。通过大数据分析，预测货物流量和运输需求，帮助司机提前做好计划，为货车司机提供最佳路线建议，避免拥堵，提高运输效率；通过区域产业合作推动物流协同发展，推进彰武硅砂铸造产业与沈阳、潍坊、上海等地的汽车制造产业联动发展。以产业定物流，建立辽蒙硅砂综合型物流中心，集运输、仓储、流通加工、配送、交易于一体的大型物流中心。</w:t>
      </w:r>
    </w:p>
    <w:p w14:paraId="092C59D8">
      <w:pPr>
        <w:ind w:left="0" w:leftChars="0" w:firstLine="0" w:firstLineChars="0"/>
        <w:rPr>
          <w:highlight w:val="none"/>
        </w:rPr>
      </w:pPr>
      <w:r>
        <w:rPr>
          <w:highlight w:val="none"/>
        </w:rPr>
        <w:drawing>
          <wp:inline distT="0" distB="0" distL="114300" distR="114300">
            <wp:extent cx="5216525" cy="5198110"/>
            <wp:effectExtent l="0" t="0" r="3175" b="254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9"/>
                    <a:stretch>
                      <a:fillRect/>
                    </a:stretch>
                  </pic:blipFill>
                  <pic:spPr>
                    <a:xfrm>
                      <a:off x="0" y="0"/>
                      <a:ext cx="5216525" cy="5198110"/>
                    </a:xfrm>
                    <a:prstGeom prst="rect">
                      <a:avLst/>
                    </a:prstGeom>
                    <a:noFill/>
                    <a:ln>
                      <a:noFill/>
                    </a:ln>
                  </pic:spPr>
                </pic:pic>
              </a:graphicData>
            </a:graphic>
          </wp:inline>
        </w:drawing>
      </w:r>
    </w:p>
    <w:p w14:paraId="304E095F">
      <w:pPr>
        <w:pStyle w:val="11"/>
        <w:bidi w:val="0"/>
        <w:rPr>
          <w:rFonts w:hint="eastAsia"/>
          <w:highlight w:val="none"/>
          <w:lang w:val="en-US" w:eastAsia="zh-CN"/>
        </w:rPr>
      </w:pPr>
      <w:bookmarkStart w:id="101" w:name="_Toc31150"/>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10</w:t>
      </w:r>
      <w:r>
        <w:fldChar w:fldCharType="end"/>
      </w:r>
      <w:r>
        <w:rPr>
          <w:rFonts w:hint="eastAsia"/>
          <w:lang w:val="en-US" w:eastAsia="zh-CN"/>
        </w:rPr>
        <w:t xml:space="preserve"> </w:t>
      </w:r>
      <w:r>
        <w:rPr>
          <w:rFonts w:hint="eastAsia"/>
          <w:highlight w:val="none"/>
          <w:lang w:val="en-US" w:eastAsia="zh-CN"/>
        </w:rPr>
        <w:t>绿色硅砂及装备制造物流中心发展方向图</w:t>
      </w:r>
      <w:bookmarkEnd w:id="101"/>
    </w:p>
    <w:p w14:paraId="6F37472A">
      <w:pPr>
        <w:pStyle w:val="24"/>
        <w:bidi w:val="0"/>
        <w:rPr>
          <w:rFonts w:hint="eastAsia"/>
          <w:highlight w:val="none"/>
          <w:lang w:val="en-US" w:eastAsia="zh-CN"/>
        </w:rPr>
      </w:pPr>
      <w:r>
        <w:rPr>
          <w:highlight w:val="none"/>
        </w:rPr>
        <w:drawing>
          <wp:inline distT="0" distB="0" distL="114300" distR="114300">
            <wp:extent cx="5155565" cy="6642735"/>
            <wp:effectExtent l="0" t="0" r="6985" b="5715"/>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30"/>
                    <a:stretch>
                      <a:fillRect/>
                    </a:stretch>
                  </pic:blipFill>
                  <pic:spPr>
                    <a:xfrm>
                      <a:off x="0" y="0"/>
                      <a:ext cx="5155565" cy="6642735"/>
                    </a:xfrm>
                    <a:prstGeom prst="rect">
                      <a:avLst/>
                    </a:prstGeom>
                    <a:noFill/>
                    <a:ln>
                      <a:noFill/>
                    </a:ln>
                  </pic:spPr>
                </pic:pic>
              </a:graphicData>
            </a:graphic>
          </wp:inline>
        </w:drawing>
      </w:r>
    </w:p>
    <w:p w14:paraId="66FBF5E4">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11</w:t>
      </w:r>
      <w:r>
        <w:fldChar w:fldCharType="end"/>
      </w:r>
      <w:r>
        <w:rPr>
          <w:rFonts w:hint="eastAsia"/>
          <w:lang w:val="en-US" w:eastAsia="zh-CN"/>
        </w:rPr>
        <w:t xml:space="preserve"> </w:t>
      </w:r>
      <w:r>
        <w:rPr>
          <w:rFonts w:hint="eastAsia"/>
          <w:highlight w:val="none"/>
          <w:lang w:val="en-US" w:eastAsia="zh-CN"/>
        </w:rPr>
        <w:t>绿色硅砂及装备制造物流中心周边用地图</w:t>
      </w:r>
    </w:p>
    <w:p w14:paraId="60DBE55E">
      <w:pPr>
        <w:pStyle w:val="24"/>
        <w:bidi w:val="0"/>
        <w:rPr>
          <w:rFonts w:hint="eastAsia"/>
          <w:highlight w:val="none"/>
          <w:lang w:val="en-US" w:eastAsia="zh-CN"/>
        </w:rPr>
      </w:pPr>
    </w:p>
    <w:p w14:paraId="6745CEDA">
      <w:pPr>
        <w:pStyle w:val="24"/>
        <w:bidi w:val="0"/>
        <w:rPr>
          <w:rFonts w:hint="eastAsia"/>
          <w:highlight w:val="none"/>
          <w:lang w:val="en-US" w:eastAsia="zh-CN"/>
        </w:rPr>
      </w:pPr>
      <w:r>
        <w:rPr>
          <w:rFonts w:hint="eastAsia"/>
          <w:highlight w:val="none"/>
          <w:lang w:val="en-US" w:eastAsia="zh-CN"/>
        </w:rPr>
        <w:drawing>
          <wp:inline distT="0" distB="0" distL="114300" distR="114300">
            <wp:extent cx="4947285" cy="7336155"/>
            <wp:effectExtent l="0" t="0" r="5715" b="17145"/>
            <wp:docPr id="30" name="图片 30" descr="d8c061d72e8f1c840e9c777167375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d8c061d72e8f1c840e9c777167375b9"/>
                    <pic:cNvPicPr>
                      <a:picLocks noChangeAspect="1"/>
                    </pic:cNvPicPr>
                  </pic:nvPicPr>
                  <pic:blipFill>
                    <a:blip r:embed="rId31"/>
                    <a:srcRect l="7214" t="6032" r="8345" b="5409"/>
                    <a:stretch>
                      <a:fillRect/>
                    </a:stretch>
                  </pic:blipFill>
                  <pic:spPr>
                    <a:xfrm>
                      <a:off x="0" y="0"/>
                      <a:ext cx="4947285" cy="7336155"/>
                    </a:xfrm>
                    <a:prstGeom prst="rect">
                      <a:avLst/>
                    </a:prstGeom>
                  </pic:spPr>
                </pic:pic>
              </a:graphicData>
            </a:graphic>
          </wp:inline>
        </w:drawing>
      </w:r>
    </w:p>
    <w:p w14:paraId="46208F45">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12</w:t>
      </w:r>
      <w:r>
        <w:fldChar w:fldCharType="end"/>
      </w:r>
      <w:r>
        <w:rPr>
          <w:rFonts w:hint="eastAsia"/>
          <w:lang w:val="en-US" w:eastAsia="zh-CN"/>
        </w:rPr>
        <w:t xml:space="preserve"> </w:t>
      </w:r>
      <w:r>
        <w:rPr>
          <w:rFonts w:hint="eastAsia"/>
          <w:highlight w:val="none"/>
          <w:lang w:val="en-US" w:eastAsia="zh-CN"/>
        </w:rPr>
        <w:t>绿色硅砂及装备制造物流中心平面图</w:t>
      </w:r>
    </w:p>
    <w:p w14:paraId="559F3C07">
      <w:pPr>
        <w:bidi w:val="0"/>
        <w:rPr>
          <w:rFonts w:hint="eastAsia"/>
          <w:highlight w:val="none"/>
          <w:lang w:val="en-US" w:eastAsia="zh-CN"/>
        </w:rPr>
      </w:pPr>
      <w:bookmarkStart w:id="102" w:name="_Toc10514"/>
      <w:r>
        <w:rPr>
          <w:rFonts w:hint="eastAsia"/>
          <w:highlight w:val="none"/>
          <w:lang w:val="en-US" w:eastAsia="zh-CN"/>
        </w:rPr>
        <w:t>4.</w:t>
      </w:r>
      <w:bookmarkEnd w:id="102"/>
      <w:r>
        <w:rPr>
          <w:rFonts w:hint="eastAsia"/>
          <w:highlight w:val="none"/>
          <w:lang w:val="en-US" w:eastAsia="zh-CN"/>
        </w:rPr>
        <w:t>北方家居建材物流中心</w:t>
      </w:r>
    </w:p>
    <w:p w14:paraId="79879746">
      <w:pPr>
        <w:rPr>
          <w:rFonts w:hint="eastAsia"/>
          <w:highlight w:val="none"/>
          <w:lang w:val="en-US" w:eastAsia="zh-CN"/>
        </w:rPr>
      </w:pPr>
      <w:r>
        <w:rPr>
          <w:rFonts w:hint="default"/>
          <w:highlight w:val="none"/>
          <w:lang w:val="en-US" w:eastAsia="zh-CN"/>
        </w:rPr>
        <w:t>总面积3.6万平方米。建设标准化的仓储设施，包括普通仓库、集散中转、销售等多功能于一体的家居产业集散地</w:t>
      </w:r>
      <w:r>
        <w:rPr>
          <w:rFonts w:hint="eastAsia"/>
          <w:highlight w:val="none"/>
          <w:lang w:val="en-US" w:eastAsia="zh-CN"/>
        </w:rPr>
        <w:t>，科学规划仓储展销区、木材交易区、物流配送区，作为内地家居产业向北方区域的承接平台，让入园企业在实现上下游协作和得到一站式服务的基础上，实现品牌、品质和规模的跨越，真正实现行业经营者的发展有平台、上下游有协作、行业有影响、生产经营有环境的国际化家居产业战略基地。</w:t>
      </w:r>
    </w:p>
    <w:p w14:paraId="0DA15FD0">
      <w:pPr>
        <w:ind w:left="0" w:leftChars="0" w:firstLine="0" w:firstLineChars="0"/>
        <w:rPr>
          <w:highlight w:val="none"/>
        </w:rPr>
      </w:pPr>
      <w:r>
        <w:rPr>
          <w:sz w:val="28"/>
        </w:rPr>
        <mc:AlternateContent>
          <mc:Choice Requires="wps">
            <w:drawing>
              <wp:anchor distT="0" distB="0" distL="114300" distR="114300" simplePos="0" relativeHeight="251661312" behindDoc="0" locked="0" layoutInCell="1" allowOverlap="1">
                <wp:simplePos x="0" y="0"/>
                <wp:positionH relativeFrom="column">
                  <wp:posOffset>2018030</wp:posOffset>
                </wp:positionH>
                <wp:positionV relativeFrom="paragraph">
                  <wp:posOffset>1266825</wp:posOffset>
                </wp:positionV>
                <wp:extent cx="2091690" cy="2442210"/>
                <wp:effectExtent l="20320" t="17145" r="21590" b="36195"/>
                <wp:wrapNone/>
                <wp:docPr id="42" name="任意多边形 42"/>
                <wp:cNvGraphicFramePr/>
                <a:graphic xmlns:a="http://schemas.openxmlformats.org/drawingml/2006/main">
                  <a:graphicData uri="http://schemas.microsoft.com/office/word/2010/wordprocessingShape">
                    <wps:wsp>
                      <wps:cNvSpPr/>
                      <wps:spPr>
                        <a:xfrm>
                          <a:off x="3161030" y="4568190"/>
                          <a:ext cx="2091690" cy="2442210"/>
                        </a:xfrm>
                        <a:custGeom>
                          <a:avLst/>
                          <a:gdLst>
                            <a:gd name="connisteX0" fmla="*/ 0 w 2091690"/>
                            <a:gd name="connsiteY0" fmla="*/ 1962785 h 2442210"/>
                            <a:gd name="connisteX1" fmla="*/ 945515 w 2091690"/>
                            <a:gd name="connsiteY1" fmla="*/ 0 h 2442210"/>
                            <a:gd name="connisteX2" fmla="*/ 1991360 w 2091690"/>
                            <a:gd name="connsiteY2" fmla="*/ 323215 h 2442210"/>
                            <a:gd name="connisteX3" fmla="*/ 2091690 w 2091690"/>
                            <a:gd name="connsiteY3" fmla="*/ 495300 h 2442210"/>
                            <a:gd name="connisteX4" fmla="*/ 1604645 w 2091690"/>
                            <a:gd name="connsiteY4" fmla="*/ 2442210 h 2442210"/>
                            <a:gd name="connisteX5" fmla="*/ 0 w 2091690"/>
                            <a:gd name="connsiteY5" fmla="*/ 1962785 h 244221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Lst>
                          <a:rect l="l" t="t" r="r" b="b"/>
                          <a:pathLst>
                            <a:path w="2091690" h="2442210">
                              <a:moveTo>
                                <a:pt x="0" y="1962785"/>
                              </a:moveTo>
                              <a:lnTo>
                                <a:pt x="945515" y="0"/>
                              </a:lnTo>
                              <a:lnTo>
                                <a:pt x="1991360" y="323215"/>
                              </a:lnTo>
                              <a:lnTo>
                                <a:pt x="2091690" y="495300"/>
                              </a:lnTo>
                              <a:lnTo>
                                <a:pt x="1604645" y="2442210"/>
                              </a:lnTo>
                              <a:lnTo>
                                <a:pt x="0" y="1962785"/>
                              </a:lnTo>
                              <a:close/>
                            </a:path>
                          </a:pathLst>
                        </a:custGeom>
                        <a:noFill/>
                        <a:ln w="28575" cmpd="sng">
                          <a:solidFill>
                            <a:srgbClr val="FF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58.9pt;margin-top:99.75pt;height:192.3pt;width:164.7pt;z-index:251661312;mso-width-relative:page;mso-height-relative:page;" filled="f" stroked="t" coordsize="2091690,2442210" o:gfxdata="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" path="m0,1962785l945515,0,1991360,323215,2091690,495300,1604645,2442210,0,1962785xe">
                <v:path o:connectlocs="0,1962785;945515,0;1991360,323215;2091690,495300;1604645,2442210;0,1962785" o:connectangles="0,0,0,0,0,0"/>
                <v:fill on="f" focussize="0,0"/>
                <v:stroke weight="2.25pt" color="#FF0000 [2404]" miterlimit="8" joinstyle="miter"/>
                <v:imagedata o:title=""/>
                <o:lock v:ext="edit" aspectratio="f"/>
              </v:shape>
            </w:pict>
          </mc:Fallback>
        </mc:AlternateContent>
      </w:r>
      <w:r>
        <w:rPr>
          <w:highlight w:val="none"/>
        </w:rPr>
        <w:drawing>
          <wp:inline distT="0" distB="0" distL="114300" distR="114300">
            <wp:extent cx="5269230" cy="5121275"/>
            <wp:effectExtent l="0" t="0" r="7620" b="317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icPr>
                  <pic:blipFill>
                    <a:blip r:embed="rId32"/>
                    <a:stretch>
                      <a:fillRect/>
                    </a:stretch>
                  </pic:blipFill>
                  <pic:spPr>
                    <a:xfrm>
                      <a:off x="0" y="0"/>
                      <a:ext cx="5269230" cy="5121275"/>
                    </a:xfrm>
                    <a:prstGeom prst="rect">
                      <a:avLst/>
                    </a:prstGeom>
                    <a:noFill/>
                    <a:ln>
                      <a:noFill/>
                    </a:ln>
                  </pic:spPr>
                </pic:pic>
              </a:graphicData>
            </a:graphic>
          </wp:inline>
        </w:drawing>
      </w:r>
    </w:p>
    <w:p w14:paraId="5B91CF7C">
      <w:pPr>
        <w:pStyle w:val="11"/>
        <w:bidi w:val="0"/>
        <w:rPr>
          <w:rFonts w:hint="default"/>
          <w:highlight w:val="none"/>
          <w:lang w:val="en-US"/>
        </w:rPr>
      </w:pPr>
      <w:bookmarkStart w:id="103" w:name="_Toc10719"/>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13</w:t>
      </w:r>
      <w:r>
        <w:fldChar w:fldCharType="end"/>
      </w:r>
      <w:r>
        <w:rPr>
          <w:rFonts w:hint="eastAsia"/>
          <w:lang w:val="en-US" w:eastAsia="zh-CN"/>
        </w:rPr>
        <w:t xml:space="preserve"> </w:t>
      </w:r>
      <w:r>
        <w:rPr>
          <w:rFonts w:hint="eastAsia"/>
          <w:highlight w:val="none"/>
          <w:lang w:val="en-US" w:eastAsia="zh-CN"/>
        </w:rPr>
        <w:t>北方家居建材物流中心周边用地图</w:t>
      </w:r>
      <w:bookmarkEnd w:id="103"/>
    </w:p>
    <w:p w14:paraId="6BF8831D">
      <w:pPr>
        <w:ind w:left="0" w:leftChars="0" w:firstLine="0" w:firstLineChars="0"/>
        <w:rPr>
          <w:rFonts w:hint="default"/>
          <w:highlight w:val="none"/>
          <w:lang w:val="en-US" w:eastAsia="zh-CN"/>
        </w:rPr>
      </w:pPr>
    </w:p>
    <w:p w14:paraId="5C884F90">
      <w:pPr>
        <w:pStyle w:val="24"/>
        <w:bidi w:val="0"/>
        <w:rPr>
          <w:highlight w:val="none"/>
        </w:rPr>
      </w:pPr>
      <w:r>
        <w:rPr>
          <w:highlight w:val="none"/>
        </w:rPr>
        <w:drawing>
          <wp:inline distT="0" distB="0" distL="114300" distR="114300">
            <wp:extent cx="5203825" cy="6922770"/>
            <wp:effectExtent l="0" t="0" r="15875" b="11430"/>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33"/>
                    <a:srcRect l="7586" t="8814" r="6212" b="10108"/>
                    <a:stretch>
                      <a:fillRect/>
                    </a:stretch>
                  </pic:blipFill>
                  <pic:spPr>
                    <a:xfrm>
                      <a:off x="0" y="0"/>
                      <a:ext cx="5203825" cy="6922770"/>
                    </a:xfrm>
                    <a:prstGeom prst="rect">
                      <a:avLst/>
                    </a:prstGeom>
                  </pic:spPr>
                </pic:pic>
              </a:graphicData>
            </a:graphic>
          </wp:inline>
        </w:drawing>
      </w:r>
    </w:p>
    <w:p w14:paraId="4CD1EE91">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5</w:t>
      </w:r>
      <w:r>
        <w:fldChar w:fldCharType="end"/>
      </w:r>
      <w:r>
        <w:rPr>
          <w:rFonts w:hint="eastAsia"/>
          <w:lang w:eastAsia="zh-CN"/>
        </w:rPr>
        <w:t>-</w:t>
      </w:r>
      <w:r>
        <w:fldChar w:fldCharType="begin"/>
      </w:r>
      <w:r>
        <w:instrText xml:space="preserve"> SEQ 图 \* ARABIC \s 1 </w:instrText>
      </w:r>
      <w:r>
        <w:fldChar w:fldCharType="separate"/>
      </w:r>
      <w:r>
        <w:t>14</w:t>
      </w:r>
      <w:r>
        <w:fldChar w:fldCharType="end"/>
      </w:r>
      <w:r>
        <w:rPr>
          <w:rFonts w:hint="eastAsia"/>
          <w:lang w:val="en-US" w:eastAsia="zh-CN"/>
        </w:rPr>
        <w:t xml:space="preserve"> </w:t>
      </w:r>
      <w:r>
        <w:rPr>
          <w:rFonts w:hint="eastAsia"/>
          <w:highlight w:val="none"/>
          <w:lang w:val="en-US" w:eastAsia="zh-CN"/>
        </w:rPr>
        <w:t>北方家居建材物流中心平面图</w:t>
      </w:r>
    </w:p>
    <w:p w14:paraId="723F1CF0">
      <w:pPr>
        <w:rPr>
          <w:rFonts w:hint="default"/>
          <w:highlight w:val="none"/>
          <w:lang w:val="en-US" w:eastAsia="zh-CN"/>
        </w:rPr>
      </w:pPr>
      <w:r>
        <w:rPr>
          <w:rFonts w:hint="eastAsia"/>
          <w:highlight w:val="none"/>
          <w:lang w:val="en-US" w:eastAsia="zh-CN"/>
        </w:rPr>
        <w:br w:type="page"/>
      </w:r>
    </w:p>
    <w:p w14:paraId="620FBF93">
      <w:pPr>
        <w:pStyle w:val="2"/>
        <w:bidi w:val="0"/>
        <w:rPr>
          <w:rFonts w:hint="default"/>
          <w:highlight w:val="none"/>
          <w:lang w:val="en-US" w:eastAsia="zh-CN"/>
        </w:rPr>
      </w:pPr>
      <w:bookmarkStart w:id="104" w:name="_Toc12336"/>
      <w:bookmarkStart w:id="105" w:name="_Toc17211"/>
      <w:bookmarkStart w:id="106" w:name="_Toc17330"/>
      <w:r>
        <w:rPr>
          <w:rFonts w:hint="eastAsia"/>
          <w:highlight w:val="none"/>
          <w:lang w:val="en-US" w:eastAsia="zh-CN"/>
        </w:rPr>
        <w:t>主要任务</w:t>
      </w:r>
      <w:bookmarkEnd w:id="104"/>
      <w:bookmarkEnd w:id="105"/>
      <w:bookmarkEnd w:id="106"/>
    </w:p>
    <w:p w14:paraId="2E8EDC01">
      <w:pPr>
        <w:pStyle w:val="3"/>
        <w:bidi w:val="0"/>
        <w:rPr>
          <w:rFonts w:hint="default"/>
          <w:highlight w:val="none"/>
          <w:lang w:val="en-US" w:eastAsia="zh-CN"/>
        </w:rPr>
      </w:pPr>
      <w:bookmarkStart w:id="107" w:name="_Toc3298"/>
      <w:bookmarkStart w:id="108" w:name="_Toc12747"/>
      <w:bookmarkStart w:id="109" w:name="_Toc2516"/>
      <w:r>
        <w:rPr>
          <w:rFonts w:hint="eastAsia"/>
          <w:highlight w:val="none"/>
          <w:lang w:val="en-US" w:eastAsia="zh-CN"/>
        </w:rPr>
        <w:t>产业方向</w:t>
      </w:r>
      <w:bookmarkEnd w:id="107"/>
      <w:bookmarkEnd w:id="108"/>
      <w:bookmarkEnd w:id="109"/>
    </w:p>
    <w:p w14:paraId="5E38F6BE">
      <w:pPr>
        <w:pStyle w:val="4"/>
        <w:bidi w:val="0"/>
        <w:rPr>
          <w:rFonts w:hint="default"/>
          <w:highlight w:val="none"/>
          <w:lang w:val="en-US" w:eastAsia="zh-CN"/>
        </w:rPr>
      </w:pPr>
      <w:bookmarkStart w:id="110" w:name="_Toc3120"/>
      <w:r>
        <w:rPr>
          <w:rFonts w:hint="eastAsia"/>
          <w:highlight w:val="none"/>
          <w:lang w:val="en-US" w:eastAsia="zh-CN"/>
        </w:rPr>
        <w:t>硅砂</w:t>
      </w:r>
      <w:bookmarkEnd w:id="110"/>
    </w:p>
    <w:p w14:paraId="5ECF9BAC">
      <w:pPr>
        <w:bidi w:val="0"/>
        <w:rPr>
          <w:rFonts w:hint="eastAsia"/>
          <w:lang w:eastAsia="zh-CN"/>
        </w:rPr>
      </w:pPr>
      <w:r>
        <w:rPr>
          <w:rFonts w:hint="eastAsia"/>
          <w:lang w:val="en-US" w:eastAsia="zh-CN"/>
        </w:rPr>
        <w:t>1、发展方向</w:t>
      </w:r>
    </w:p>
    <w:p w14:paraId="4EB1EAFF">
      <w:pPr>
        <w:bidi w:val="0"/>
      </w:pPr>
      <w:r>
        <w:t>依据市县“十四五”规划，按照阜新市“加快构建彰武硅砂新业态”总体要求，围绕彰武县 “做强硅砂工业产业集群”任务部署，坚持“生态+硅砂”理念，依托“中国砂都”品牌影响力，</w:t>
      </w:r>
      <w:r>
        <w:rPr>
          <w:rFonts w:hint="eastAsia"/>
          <w:lang w:val="en-US" w:eastAsia="zh-CN"/>
        </w:rPr>
        <w:t>发挥</w:t>
      </w:r>
      <w:r>
        <w:t>产业集群核心承载区作用，增强“中国硅砂交易中心”平台功能，建立集砂资源基地、研发创新、深加工、</w:t>
      </w:r>
      <w:r>
        <w:rPr>
          <w:rFonts w:hint="eastAsia"/>
          <w:lang w:eastAsia="zh-CN"/>
        </w:rPr>
        <w:t>硅</w:t>
      </w:r>
      <w:r>
        <w:t>砂再生和物流等全产业链的硅砂产业体系，打造中国硅砂深加工集聚区。</w:t>
      </w:r>
    </w:p>
    <w:p w14:paraId="7CC53258">
      <w:pPr>
        <w:bidi w:val="0"/>
        <w:rPr>
          <w:rFonts w:hint="default"/>
          <w:lang w:val="en-US" w:eastAsia="zh-CN"/>
        </w:rPr>
      </w:pPr>
      <w:r>
        <w:rPr>
          <w:rFonts w:hint="eastAsia"/>
          <w:lang w:val="en-US" w:eastAsia="zh-CN"/>
        </w:rPr>
        <w:t>2、实现路径</w:t>
      </w:r>
    </w:p>
    <w:p w14:paraId="6CC8E5A8">
      <w:pPr>
        <w:bidi w:val="0"/>
        <w:rPr>
          <w:highlight w:val="none"/>
        </w:rPr>
      </w:pPr>
      <w:bookmarkStart w:id="111" w:name="_Hlk51885202"/>
      <w:r>
        <w:rPr>
          <w:b/>
          <w:bCs/>
          <w:highlight w:val="none"/>
        </w:rPr>
        <w:t>整合优化硅砂</w:t>
      </w:r>
      <w:bookmarkEnd w:id="111"/>
      <w:r>
        <w:rPr>
          <w:b/>
          <w:bCs/>
          <w:highlight w:val="none"/>
        </w:rPr>
        <w:t>资源。</w:t>
      </w:r>
      <w:r>
        <w:rPr>
          <w:highlight w:val="none"/>
        </w:rPr>
        <w:t>整合一批现有硅砂生产企业，引进一批国内知名规模硅砂生产企业，淘汰一批生产条件落后、规模小、个体散户的硅砂生产企业，推动矿产资源向国有化集中，扶持国有硅砂企业成长，推动国有矿产资源统一资源管理、统一品牌建设、统一价格优势、统一销售模式、集中产业管理，促进硅砂产业集群可持续发展。</w:t>
      </w:r>
    </w:p>
    <w:p w14:paraId="299034D0">
      <w:pPr>
        <w:bidi w:val="0"/>
        <w:rPr>
          <w:highlight w:val="none"/>
        </w:rPr>
      </w:pPr>
      <w:r>
        <w:rPr>
          <w:b/>
          <w:bCs/>
          <w:highlight w:val="none"/>
        </w:rPr>
        <w:t>做强硅砂深加工产业。</w:t>
      </w:r>
      <w:r>
        <w:rPr>
          <w:highlight w:val="none"/>
        </w:rPr>
        <w:t>推动硅砂深加工产品高端化发展，开发航天用精密铸造用砂、消失模砂、级配砂、混合砂等特种精品砂系列产品。发展高强度低发气覆膜砂、耐高温覆膜砂、耐高温低膨胀低发气覆膜砂、铸铁易溃散覆膜砂、非铁合金易溃散覆膜砂、湿态覆膜砂、离心铸造覆膜砂、特种覆膜砂等高端产品。优化资源配置，延伸产品服务链，为产业集群配套开发砂芯、壳芯加工服务。推进3D打印砂研发中心建设，发展3D打印砂产品，加快3D打印砂技术研发及成果转化，广泛应用航空航天、航海、核工业、汽车、家电、医疗等领域。拓宽硅砂应用领域，发展宝珠砂、陶粒砂等高端人造砂产品。</w:t>
      </w:r>
    </w:p>
    <w:p w14:paraId="541A5F0C">
      <w:pPr>
        <w:bidi w:val="0"/>
        <w:rPr>
          <w:highlight w:val="none"/>
        </w:rPr>
      </w:pPr>
      <w:bookmarkStart w:id="112" w:name="_Hlk51885268"/>
      <w:r>
        <w:rPr>
          <w:b/>
          <w:bCs/>
          <w:highlight w:val="none"/>
        </w:rPr>
        <w:t>完善硅砂产业体系。</w:t>
      </w:r>
      <w:bookmarkEnd w:id="112"/>
      <w:bookmarkStart w:id="113" w:name="_Hlk51884903"/>
      <w:r>
        <w:rPr>
          <w:highlight w:val="none"/>
        </w:rPr>
        <w:t>继续承办铸造硅砂产业论坛，深入推进硅砂深加工产业园建设</w:t>
      </w:r>
      <w:bookmarkEnd w:id="113"/>
      <w:r>
        <w:rPr>
          <w:highlight w:val="none"/>
        </w:rPr>
        <w:t>。加大硅砂资源精深加工力度，进一步引入国内外硅砂产业的龙头企业、重大项目和知名品牌，加快构建公共服务平台、研发与检验检测平台，</w:t>
      </w:r>
      <w:bookmarkStart w:id="114" w:name="_Hlk51885073"/>
      <w:r>
        <w:rPr>
          <w:highlight w:val="none"/>
        </w:rPr>
        <w:t>建立集生产、深加工和物流等多位一体的硅砂产业体系，打造全产业链中国砂产业示范基地</w:t>
      </w:r>
      <w:bookmarkEnd w:id="114"/>
      <w:r>
        <w:rPr>
          <w:highlight w:val="none"/>
        </w:rPr>
        <w:t>。培育产值超亿元具有引领带动作用的科技小巨人企业，积极扶持高新技术企业，推进</w:t>
      </w:r>
      <w:r>
        <w:rPr>
          <w:rFonts w:hint="eastAsia"/>
          <w:highlight w:val="none"/>
          <w:lang w:eastAsia="zh-CN"/>
        </w:rPr>
        <w:t>科技成果转化</w:t>
      </w:r>
      <w:r>
        <w:rPr>
          <w:highlight w:val="none"/>
        </w:rPr>
        <w:t>。</w:t>
      </w:r>
    </w:p>
    <w:p w14:paraId="091F8049">
      <w:pPr>
        <w:bidi w:val="0"/>
        <w:rPr>
          <w:highlight w:val="none"/>
        </w:rPr>
      </w:pPr>
      <w:r>
        <w:rPr>
          <w:b/>
          <w:bCs/>
          <w:highlight w:val="none"/>
        </w:rPr>
        <w:t>推进硅砂产业绿色发展。</w:t>
      </w:r>
      <w:r>
        <w:rPr>
          <w:highlight w:val="none"/>
        </w:rPr>
        <w:t>推动彰武硅砂“合理开发、节约资源、生态治理、协调发展”，推动硅砂产业由资源消耗型向资源科技型转变，实现资源开发和环境保护相得益彰、互相促进。推进新型</w:t>
      </w:r>
      <w:r>
        <w:rPr>
          <w:rFonts w:hint="eastAsia"/>
          <w:highlight w:val="none"/>
        </w:rPr>
        <w:t>唂粉环保砂生产基地建设，引领硅砂工业绿色发展。推进废砂处理中心建设，加大旧砂再生技术及再生设备的研发，形成具有高科技含</w:t>
      </w:r>
      <w:r>
        <w:rPr>
          <w:rFonts w:hint="eastAsia"/>
          <w:highlight w:val="none"/>
          <w:lang w:eastAsia="zh-CN"/>
        </w:rPr>
        <w:t>量的</w:t>
      </w:r>
      <w:r>
        <w:rPr>
          <w:rFonts w:hint="eastAsia"/>
          <w:highlight w:val="none"/>
        </w:rPr>
        <w:t>技术体系，将彰武硅砂资源、技术、设备、人才推向市场，减少废砂排放，打造绿色铸造产业集群。</w:t>
      </w:r>
    </w:p>
    <w:p w14:paraId="59FCE41F">
      <w:pPr>
        <w:pStyle w:val="4"/>
        <w:bidi w:val="0"/>
        <w:rPr>
          <w:rFonts w:hint="eastAsia"/>
          <w:highlight w:val="none"/>
          <w:lang w:val="en-US" w:eastAsia="zh-CN"/>
        </w:rPr>
      </w:pPr>
      <w:bookmarkStart w:id="115" w:name="_Toc6167"/>
      <w:r>
        <w:rPr>
          <w:rFonts w:hint="eastAsia"/>
          <w:highlight w:val="none"/>
          <w:lang w:val="en-US" w:eastAsia="zh-CN"/>
        </w:rPr>
        <w:t>装备制造</w:t>
      </w:r>
      <w:bookmarkEnd w:id="115"/>
    </w:p>
    <w:p w14:paraId="40718345">
      <w:pPr>
        <w:rPr>
          <w:rFonts w:hint="default"/>
          <w:highlight w:val="none"/>
          <w:lang w:val="en-US" w:eastAsia="zh-CN"/>
        </w:rPr>
      </w:pPr>
      <w:r>
        <w:rPr>
          <w:rFonts w:hint="eastAsia"/>
          <w:highlight w:val="none"/>
          <w:lang w:val="en-US" w:eastAsia="zh-CN"/>
        </w:rPr>
        <w:t>1、发展方向</w:t>
      </w:r>
    </w:p>
    <w:p w14:paraId="17A274A8">
      <w:pPr>
        <w:rPr>
          <w:rFonts w:hint="default"/>
          <w:highlight w:val="none"/>
          <w:lang w:val="en-US" w:eastAsia="zh-CN"/>
        </w:rPr>
      </w:pPr>
      <w:r>
        <w:rPr>
          <w:rFonts w:hint="default"/>
          <w:highlight w:val="none"/>
          <w:lang w:val="en-US" w:eastAsia="zh-CN"/>
        </w:rPr>
        <w:t>推进装备制造及配套产业高端化、智能化、绿色化、集约化“四化同步”，推动与沈阳现代化都市圈、京津冀城市群高端装备制造产业协同发展。推进产业链提质升级，为装备制造等产业赋能增效，加快布局智能工厂、数字化车间，促进制造业向智能、绿色、高端、服务转型升级。推进产业链扩容增效，建立铸造装备、原辅材料、铸造共享平台、生产企业、机械装备完整产业链条。深挖产业协同潜力，主动融入沈阳</w:t>
      </w:r>
      <w:r>
        <w:rPr>
          <w:rFonts w:hint="eastAsia"/>
          <w:highlight w:val="none"/>
          <w:lang w:val="en-US" w:eastAsia="zh-CN"/>
        </w:rPr>
        <w:t>各</w:t>
      </w:r>
      <w:r>
        <w:rPr>
          <w:rFonts w:hint="default"/>
          <w:highlight w:val="none"/>
          <w:lang w:val="en-US" w:eastAsia="zh-CN"/>
        </w:rPr>
        <w:t>汽车</w:t>
      </w:r>
      <w:r>
        <w:rPr>
          <w:rFonts w:hint="eastAsia"/>
          <w:highlight w:val="none"/>
          <w:lang w:val="en-US" w:eastAsia="zh-CN"/>
        </w:rPr>
        <w:t>工业园区</w:t>
      </w:r>
      <w:r>
        <w:rPr>
          <w:rFonts w:hint="default"/>
          <w:highlight w:val="none"/>
          <w:lang w:val="en-US" w:eastAsia="zh-CN"/>
        </w:rPr>
        <w:t>、机床等高端装备产业基地建设，重点推进精密铸造、新能源汽车零部件、机床零部件配套协作发展，延伸铸造-机械加工产业链，推进金属表面处理工艺发展，实现绿色铸造赋能高端装备制造产业。</w:t>
      </w:r>
    </w:p>
    <w:p w14:paraId="3068303A">
      <w:pPr>
        <w:numPr>
          <w:ilvl w:val="0"/>
          <w:numId w:val="0"/>
        </w:numPr>
        <w:rPr>
          <w:rFonts w:hint="eastAsia"/>
          <w:highlight w:val="none"/>
          <w:lang w:val="en-US" w:eastAsia="zh-CN"/>
        </w:rPr>
      </w:pPr>
      <w:r>
        <w:rPr>
          <w:rFonts w:hint="eastAsia"/>
          <w:highlight w:val="none"/>
          <w:lang w:val="en-US" w:eastAsia="zh-CN"/>
        </w:rPr>
        <w:t>2、实现路径</w:t>
      </w:r>
    </w:p>
    <w:p w14:paraId="318AAD7E">
      <w:pPr>
        <w:bidi w:val="0"/>
        <w:rPr>
          <w:highlight w:val="none"/>
        </w:rPr>
      </w:pPr>
      <w:r>
        <w:rPr>
          <w:b/>
          <w:bCs/>
          <w:highlight w:val="none"/>
        </w:rPr>
        <w:t>建设沈阜产业一体化发展承载区。</w:t>
      </w:r>
      <w:r>
        <w:rPr>
          <w:highlight w:val="none"/>
        </w:rPr>
        <w:t>推动铸件产品向科技含量高、附加值高的铸钢类、有色合金类、军工类铸件生产转型，延伸精加工及装配等高端装备制造、3D打印等智能装备制造、工业云平台等智能铸造服务等多元化铸造产业链。主动融入沈阳现代化装备制造产业基地建设，围绕沈阳汽车及零部件、机械装备、冶金建材、新材料等重点产业链，推进开发区重点企业与沈阳华晨宝马、沈阳机床、沈阳鼓风机集团等先进企业开展精准配套合作，打造沈阳产业发展配套生产基地，建设沈阜产业一体化发展承载区。</w:t>
      </w:r>
    </w:p>
    <w:p w14:paraId="0C40505C">
      <w:pPr>
        <w:bidi w:val="0"/>
        <w:rPr>
          <w:highlight w:val="none"/>
        </w:rPr>
      </w:pPr>
      <w:r>
        <w:rPr>
          <w:b/>
          <w:bCs/>
          <w:highlight w:val="none"/>
        </w:rPr>
        <w:t>打造绿色铸造生产基地。</w:t>
      </w:r>
      <w:r>
        <w:rPr>
          <w:highlight w:val="none"/>
        </w:rPr>
        <w:t>推进绿色铸造、智能铸造方式贯穿铸造全产业链，按照《铸造行业绿色工厂评价要求》，开发绿色铸造原辅材料、推广绿色铸造工艺、开展绿色产品设计、建设绿色铸造工厂、构建绿色产业链、发展绿色铸造园区，推进企业能源低碳化、用地集约化、原料无害化和生产洁净化。做强绿色铸造产业，瞄准天津市西青区、北辰区，河北省沧州市等地区，依托联信硅砂、场景科技等重点企业，引进智能化生产线、机器人等先进铸造设备和3D打印等先进铸造成型工艺企业落地。</w:t>
      </w:r>
    </w:p>
    <w:p w14:paraId="02926E95">
      <w:pPr>
        <w:bidi w:val="0"/>
        <w:rPr>
          <w:highlight w:val="none"/>
        </w:rPr>
      </w:pPr>
      <w:r>
        <w:rPr>
          <w:b/>
          <w:bCs/>
          <w:highlight w:val="none"/>
        </w:rPr>
        <w:t>推进服务型制造发展。</w:t>
      </w:r>
      <w:r>
        <w:rPr>
          <w:highlight w:val="none"/>
        </w:rPr>
        <w:t>依托园区龙头企业，培育发展工业设计、共享铸造等服务型制造新业态，引育一批服务型制造头部企业。搭建网络化协同设计平台，推进有条件铸造企业参与主机产品协同设计，重点发展基于铸造模拟仿真技术的共享服务平台。围绕园区铸造企业共生需求，推动集中配置相关生产设备，创新共享机制，推进砂芯集中制芯、检验检测设备、废砂集中处理、仓储物流等方面推广共享铸造模式。</w:t>
      </w:r>
    </w:p>
    <w:p w14:paraId="4ECA6423">
      <w:pPr>
        <w:bidi w:val="0"/>
        <w:rPr>
          <w:highlight w:val="none"/>
        </w:rPr>
      </w:pPr>
      <w:r>
        <w:rPr>
          <w:b/>
          <w:bCs/>
          <w:highlight w:val="none"/>
        </w:rPr>
        <w:t>发展表面处理工艺。</w:t>
      </w:r>
      <w:r>
        <w:rPr>
          <w:highlight w:val="none"/>
        </w:rPr>
        <w:t>延伸铸造产业链，按照“统一规划、统一建设、统一运营”的管理思路，推动发展绿色环保、节能减排、可持续发展的表面处理工艺，对园区企业废水集中整治、废气集中监控、废渣集中管理，实现循环利用和达标排放。打造表面处理服务平台，提供清洁生产、循环经济技术支持，提供表面处理新技术、新工艺、新材料多元化服务。</w:t>
      </w:r>
    </w:p>
    <w:p w14:paraId="0313A420">
      <w:pPr>
        <w:bidi w:val="0"/>
        <w:rPr>
          <w:highlight w:val="none"/>
        </w:rPr>
      </w:pPr>
      <w:r>
        <w:rPr>
          <w:b/>
          <w:bCs/>
          <w:highlight w:val="none"/>
        </w:rPr>
        <w:t>提升铸造企业环保治理水平。</w:t>
      </w:r>
      <w:r>
        <w:rPr>
          <w:highlight w:val="none"/>
        </w:rPr>
        <w:t>贯彻落实《排污许可管理条例》和《排污许可证申请与核发技术规范 金属铸造工业》，推进铸造企业规范申请排污许可证。加快执行《铸造工业大气污染物排放标准》等环保标准，推进企业采用高效环保治理设施，推进企业达标排放，创新“环保管家”等服务新模式，推行污染物集中治理和第三方环境管理。</w:t>
      </w:r>
    </w:p>
    <w:p w14:paraId="2430F004">
      <w:pPr>
        <w:bidi w:val="0"/>
        <w:rPr>
          <w:highlight w:val="none"/>
        </w:rPr>
      </w:pPr>
      <w:r>
        <w:rPr>
          <w:b/>
          <w:bCs/>
          <w:highlight w:val="none"/>
        </w:rPr>
        <w:t>加大节能减排技术应用。</w:t>
      </w:r>
      <w:r>
        <w:rPr>
          <w:highlight w:val="none"/>
        </w:rPr>
        <w:t>推进企业采用高效节能熔炼设备、热处理设备和节能压铸机等设备，推进铸造生产全过程能源管控，推进铸造生产余热回收与利用。鼓励大型铸造企业购置废砂再生处理设备并协同周边企业废砂处理，依托重庆长江等龙头企业，推进建立第三方废砂再生处理中心，提高全行业废砂再生处理比例。</w:t>
      </w:r>
    </w:p>
    <w:p w14:paraId="109B2EFE">
      <w:pPr>
        <w:pStyle w:val="4"/>
        <w:bidi w:val="0"/>
        <w:rPr>
          <w:rFonts w:hint="default"/>
          <w:highlight w:val="none"/>
          <w:lang w:val="en-US" w:eastAsia="zh-CN"/>
        </w:rPr>
      </w:pPr>
      <w:bookmarkStart w:id="116" w:name="_Toc15133"/>
      <w:r>
        <w:rPr>
          <w:rFonts w:hint="eastAsia"/>
          <w:highlight w:val="none"/>
          <w:lang w:val="en-US" w:eastAsia="zh-CN"/>
        </w:rPr>
        <w:t>农产品</w:t>
      </w:r>
      <w:bookmarkEnd w:id="116"/>
    </w:p>
    <w:p w14:paraId="61BB7807">
      <w:pPr>
        <w:bidi w:val="0"/>
        <w:rPr>
          <w:rFonts w:hint="default"/>
          <w:lang w:val="en-US" w:eastAsia="zh-CN"/>
        </w:rPr>
      </w:pPr>
      <w:r>
        <w:rPr>
          <w:rFonts w:hint="eastAsia"/>
          <w:lang w:val="en-US" w:eastAsia="zh-CN"/>
        </w:rPr>
        <w:t>1、发展方向</w:t>
      </w:r>
    </w:p>
    <w:p w14:paraId="1456FC2B">
      <w:pPr>
        <w:bidi w:val="0"/>
        <w:rPr>
          <w:rFonts w:hint="eastAsia"/>
          <w:lang w:val="en-US" w:eastAsia="zh-CN"/>
        </w:rPr>
      </w:pPr>
      <w:r>
        <w:rPr>
          <w:lang w:val="en-US" w:eastAsia="zh-CN"/>
        </w:rPr>
        <w:t>完善农产品供应链物流服务体系，优化贯穿农产品生产、</w:t>
      </w:r>
      <w:r>
        <w:rPr>
          <w:rFonts w:hint="eastAsia"/>
          <w:lang w:val="en-US" w:eastAsia="zh-CN"/>
        </w:rPr>
        <w:t>销售全过程的物流服务，建立畅通高效、贯通城乡的农产品现代物流体系。推动农产品物流与城市配送协同发展，引领农业生产向消费导向型转变，充分满足消费升级、产业转型和新型城镇化建设需求。贯彻落实国家粮食安全战略，提升粮食仓储物流现代化、专业化水平。推进哈尔套大集等农产品批发市场及物流服务优化升级，提高电商平台利用率，实现杂粮批发市场统一检测、统一检斤、统一结算、统一仓储和统一配送。打造沈阳都市圈下-蒙东地区农畜产品物流中心。</w:t>
      </w:r>
    </w:p>
    <w:p w14:paraId="39542DFB">
      <w:pPr>
        <w:bidi w:val="0"/>
        <w:rPr>
          <w:rFonts w:hint="eastAsia"/>
          <w:lang w:val="en-US" w:eastAsia="zh-CN"/>
        </w:rPr>
      </w:pPr>
      <w:r>
        <w:rPr>
          <w:rFonts w:hint="eastAsia"/>
          <w:lang w:val="en-US" w:eastAsia="zh-CN"/>
        </w:rPr>
        <w:t>2、实现路径</w:t>
      </w:r>
    </w:p>
    <w:p w14:paraId="4DF80AB5">
      <w:pPr>
        <w:bidi w:val="0"/>
      </w:pPr>
      <w:r>
        <w:rPr>
          <w:b/>
          <w:bCs/>
          <w:lang w:val="en-US" w:eastAsia="zh-CN"/>
        </w:rPr>
        <w:t>完善农产品现代供应链体系</w:t>
      </w:r>
      <w:r>
        <w:rPr>
          <w:rFonts w:hint="eastAsia"/>
          <w:b/>
          <w:bCs/>
          <w:lang w:val="en-US" w:eastAsia="zh-CN"/>
        </w:rPr>
        <w:t>。</w:t>
      </w:r>
      <w:r>
        <w:rPr>
          <w:lang w:val="en-US" w:eastAsia="zh-CN"/>
        </w:rPr>
        <w:t>建立集农产品生产、加工、</w:t>
      </w:r>
      <w:r>
        <w:rPr>
          <w:rFonts w:hint="eastAsia"/>
          <w:lang w:val="en-US" w:eastAsia="zh-CN"/>
        </w:rPr>
        <w:t>流通和服务等于一体的农业供应链体系。鼓励哈尔套大集、豪德批发市场等农产品批发市场拓展产销对接、安全检测、加工包装、统仓统配、溯源查询等功能，加快线上线下融合发展。围绕杂粮、地瓜、葡萄、猪肉等</w:t>
      </w:r>
      <w:r>
        <w:rPr>
          <w:lang w:val="en-US" w:eastAsia="zh-CN"/>
        </w:rPr>
        <w:t>特色农产品培育一批新型农业经营主体和龙头</w:t>
      </w:r>
      <w:r>
        <w:rPr>
          <w:rFonts w:hint="eastAsia"/>
          <w:lang w:val="en-US" w:eastAsia="zh-CN"/>
        </w:rPr>
        <w:t>企业成为供应链物流服务商，推进建立“种植/养殖基地+生产加工+商贸流通+物流运输+邮政金融服务”一体化的农村物流供应链服务体系。</w:t>
      </w:r>
    </w:p>
    <w:p w14:paraId="26FBBE2D">
      <w:pPr>
        <w:bidi w:val="0"/>
      </w:pPr>
      <w:bookmarkStart w:id="117" w:name="_Toc16072"/>
      <w:r>
        <w:rPr>
          <w:b/>
          <w:bCs/>
          <w:lang w:val="en-US" w:eastAsia="zh-CN"/>
        </w:rPr>
        <w:t>建设</w:t>
      </w:r>
      <w:r>
        <w:rPr>
          <w:rFonts w:hint="eastAsia"/>
          <w:b/>
          <w:bCs/>
          <w:lang w:val="en-US" w:eastAsia="zh-CN"/>
        </w:rPr>
        <w:t>彰武</w:t>
      </w:r>
      <w:r>
        <w:rPr>
          <w:b/>
          <w:bCs/>
          <w:lang w:val="en-US" w:eastAsia="zh-CN"/>
        </w:rPr>
        <w:t>县农产品流通平台</w:t>
      </w:r>
      <w:r>
        <w:rPr>
          <w:rFonts w:hint="eastAsia"/>
          <w:b/>
          <w:bCs/>
          <w:lang w:val="en-US" w:eastAsia="zh-CN"/>
        </w:rPr>
        <w:t>。</w:t>
      </w:r>
      <w:r>
        <w:rPr>
          <w:rFonts w:hint="eastAsia"/>
          <w:lang w:val="en-US" w:eastAsia="zh-CN"/>
        </w:rPr>
        <w:t>围绕</w:t>
      </w:r>
      <w:bookmarkEnd w:id="117"/>
      <w:r>
        <w:rPr>
          <w:rFonts w:hint="eastAsia"/>
          <w:lang w:val="en-US" w:eastAsia="zh-CN"/>
        </w:rPr>
        <w:t>绿色农产品综合物流园区等实施改造升级，打造集农产品仓储、加工、交易、集散、配送、电子商务等功能于一体的现代化优质农产品物流园区，形成设施完善、产销链条稳定畅通的农产品现代流通模式。补齐园区道路等基础设施短板，建设优质农产品交易平台、农产品检验检测中心等。高标准推进农贸市场改造提升，实施综合农贸市场、专业市场、乡镇农贸市场等的新建及改扩建，优化农贸市场基础设施，强化传统市场物流功能。积极参与国家“县域商业建设行动”，创建“国家级农产品产地专业市场”，打造辐射京津冀、沈阳都市圈、蒙东地区的农畜产品物流中心。</w:t>
      </w:r>
    </w:p>
    <w:p w14:paraId="44633A23">
      <w:pPr>
        <w:bidi w:val="0"/>
      </w:pPr>
      <w:r>
        <w:rPr>
          <w:b/>
          <w:bCs/>
          <w:lang w:val="en-US" w:eastAsia="zh-CN"/>
        </w:rPr>
        <w:t>加强粮食仓储物流体系建设</w:t>
      </w:r>
      <w:r>
        <w:rPr>
          <w:rFonts w:hint="eastAsia"/>
          <w:b/>
          <w:bCs/>
          <w:lang w:val="en-US" w:eastAsia="zh-CN"/>
        </w:rPr>
        <w:t>。</w:t>
      </w:r>
      <w:r>
        <w:rPr>
          <w:rFonts w:hint="eastAsia"/>
          <w:lang w:val="en-US" w:eastAsia="zh-CN"/>
        </w:rPr>
        <w:t>完善粮食仓储设施，提升国有粮库粮食仓储能力。增强粮食物流企业仓储、加工、交易、运输等服务水平，创新粮食物流服务方式。提高对周边县区及内蒙古、吉林等货源地的辐射带动作用，发展跨区域粮食物流。融入辽宁省“北粮南运”物流体系，加强粮食运输通道建设。积极融入国家粮食交易平台，提升彰武粮食在全国的知名度。</w:t>
      </w:r>
    </w:p>
    <w:p w14:paraId="28450CFF">
      <w:pPr>
        <w:bidi w:val="0"/>
      </w:pPr>
      <w:r>
        <w:rPr>
          <w:b/>
          <w:bCs/>
          <w:lang w:val="en-US" w:eastAsia="zh-CN"/>
        </w:rPr>
        <w:t>提升冷链物流服务能力</w:t>
      </w:r>
      <w:r>
        <w:rPr>
          <w:rFonts w:hint="eastAsia"/>
          <w:b/>
          <w:bCs/>
          <w:lang w:val="en-US" w:eastAsia="zh-CN"/>
        </w:rPr>
        <w:t>。</w:t>
      </w:r>
      <w:r>
        <w:rPr>
          <w:rFonts w:hint="eastAsia"/>
          <w:lang w:val="en-US" w:eastAsia="zh-CN"/>
        </w:rPr>
        <w:t>发展肉类冷链物流，鼓励屠宰企业建设标准化预冷和低温分割加工车间、配套冷库等设施，构建“集中屠宰、品牌经营、冷链流通、冷鲜上市”的肉类供应链体系。发展果蔬冷链物流，建设移动冷库和预冷设施，构建全流程果蔬冷链物流体系。鼓励产地冷链集配中心及农业龙头企业探索发展净菜、半成品加工等预制菜产业，发展“中央厨房+食材冷链配送”等模式。加快冷冻库、恒温恒湿</w:t>
      </w:r>
      <w:r>
        <w:rPr>
          <w:lang w:val="en-US" w:eastAsia="zh-CN"/>
        </w:rPr>
        <w:t>库等不同种类冷库设施建设，满足不同种类货物对不同温度</w:t>
      </w:r>
      <w:r>
        <w:rPr>
          <w:rFonts w:hint="eastAsia"/>
          <w:lang w:val="en-US" w:eastAsia="zh-CN"/>
        </w:rPr>
        <w:t xml:space="preserve">设施的需求。在彰武县城物流核心区建设冷链物流交易平台，提升物流信息服务水平。 </w:t>
      </w:r>
    </w:p>
    <w:p w14:paraId="1E1D4C22">
      <w:pPr>
        <w:pStyle w:val="4"/>
        <w:bidi w:val="0"/>
        <w:rPr>
          <w:highlight w:val="none"/>
        </w:rPr>
      </w:pPr>
      <w:bookmarkStart w:id="118" w:name="_Toc27326"/>
      <w:r>
        <w:rPr>
          <w:rFonts w:hint="eastAsia"/>
          <w:highlight w:val="none"/>
          <w:lang w:val="en-US" w:eastAsia="zh-CN"/>
        </w:rPr>
        <w:t>商贸物流</w:t>
      </w:r>
      <w:bookmarkEnd w:id="118"/>
    </w:p>
    <w:p w14:paraId="192BE4D0">
      <w:pPr>
        <w:bidi w:val="0"/>
        <w:rPr>
          <w:rFonts w:hint="eastAsia"/>
          <w:lang w:val="en-US" w:eastAsia="zh-CN"/>
        </w:rPr>
      </w:pPr>
      <w:r>
        <w:rPr>
          <w:rFonts w:hint="eastAsia"/>
          <w:lang w:val="en-US" w:eastAsia="zh-CN"/>
        </w:rPr>
        <w:t>1、发展方向</w:t>
      </w:r>
    </w:p>
    <w:p w14:paraId="4EF3E1BD">
      <w:pPr>
        <w:bidi w:val="0"/>
      </w:pPr>
      <w:r>
        <w:rPr>
          <w:lang w:val="en-US" w:eastAsia="zh-CN"/>
        </w:rPr>
        <w:t>国家《商贸物流高质量发展专项行动计划（</w:t>
      </w:r>
      <w:r>
        <w:rPr>
          <w:rFonts w:hint="eastAsia"/>
          <w:lang w:val="en-US" w:eastAsia="zh-CN"/>
        </w:rPr>
        <w:t>2021-2025年）》强调加快提升商贸物流现代化水平，促进商贸物流降本增效，重点优化商贸物流网络布局，建设城乡高效配送体系，促进区域商贸物流一体化，发展商贸物流新业态新模式等。彰武县贯彻落实《关于加强县域商业体系建设促进农村消</w:t>
      </w:r>
      <w:r>
        <w:rPr>
          <w:lang w:val="en-US" w:eastAsia="zh-CN"/>
        </w:rPr>
        <w:t>费的意见》，实施县域商业建设行动，完善县乡村三级商业网</w:t>
      </w:r>
      <w:r>
        <w:rPr>
          <w:rFonts w:hint="eastAsia"/>
          <w:lang w:val="en-US" w:eastAsia="zh-CN"/>
        </w:rPr>
        <w:t>络，推动下沉和上行相结合，畅通工业品下乡和农产品进城渠道，构建农产品现代流通体系。根据《关于推进以县城为重要载体的城镇化建设的意见》及《乡村建设行动实施方案》，推动县城连锁商超和物流配送中心、乡镇商贸中心、村级寄递物流综合服务站建设，健全商贸流通网络。</w:t>
      </w:r>
    </w:p>
    <w:p w14:paraId="2680B4DE">
      <w:pPr>
        <w:bidi w:val="0"/>
        <w:rPr>
          <w:rFonts w:hint="default"/>
          <w:lang w:val="en-US" w:eastAsia="zh-CN"/>
        </w:rPr>
      </w:pPr>
      <w:r>
        <w:rPr>
          <w:rFonts w:hint="eastAsia"/>
          <w:lang w:val="en-US" w:eastAsia="zh-CN"/>
        </w:rPr>
        <w:t>2、实现路径</w:t>
      </w:r>
    </w:p>
    <w:p w14:paraId="6026E82D">
      <w:pPr>
        <w:bidi w:val="0"/>
      </w:pPr>
      <w:bookmarkStart w:id="119" w:name="_Toc2663"/>
      <w:r>
        <w:rPr>
          <w:b/>
          <w:bCs/>
          <w:lang w:val="en-US" w:eastAsia="zh-CN"/>
        </w:rPr>
        <w:t>构建县域商贸物流体系</w:t>
      </w:r>
      <w:r>
        <w:rPr>
          <w:rFonts w:hint="eastAsia"/>
          <w:b/>
          <w:bCs/>
          <w:lang w:val="en-US" w:eastAsia="zh-CN"/>
        </w:rPr>
        <w:t>。</w:t>
      </w:r>
      <w:r>
        <w:rPr>
          <w:rFonts w:hint="eastAsia"/>
          <w:lang w:val="en-US" w:eastAsia="zh-CN"/>
        </w:rPr>
        <w:t>健全县域商贸服务和物流配送</w:t>
      </w:r>
      <w:bookmarkEnd w:id="119"/>
      <w:r>
        <w:rPr>
          <w:rFonts w:hint="eastAsia"/>
          <w:lang w:val="en-US" w:eastAsia="zh-CN"/>
        </w:rPr>
        <w:t>网络，优化综合物流中心、配送（分拨）中心、末端配送网点等空间布局，促进交通、邮政、商贸、供销、快递等资源开放共享。构建以县级物流配送中心、乡镇网点和村级寄递物流综合服务站为主体的农村快递物流配送体系，持续实施“快递进村”工程。完善县乡村三级寄递物流网络，</w:t>
      </w:r>
      <w:r>
        <w:rPr>
          <w:lang w:val="en-US" w:eastAsia="zh-CN"/>
        </w:rPr>
        <w:t>构建</w:t>
      </w:r>
      <w:r>
        <w:rPr>
          <w:rFonts w:hint="eastAsia"/>
          <w:lang w:val="en-US" w:eastAsia="zh-CN"/>
        </w:rPr>
        <w:t>“5+10+N”三级城乡寄递物流体系。畅通工业品下乡和农产品进城渠道，实现县城中转、乡镇分拨、村级配送功能。在彰武县中心城区建设电商快递物流中心，统筹全县城乡寄递物流服务，整合全县快递企业信息及配送资源，实现统仓共配、节约用地、降本增效。</w:t>
      </w:r>
      <w:r>
        <w:rPr>
          <w:lang w:val="en-US" w:eastAsia="zh-CN"/>
        </w:rPr>
        <w:t>在中心城区以外的</w:t>
      </w:r>
      <w:r>
        <w:rPr>
          <w:rFonts w:hint="eastAsia"/>
          <w:lang w:val="en-US" w:eastAsia="zh-CN"/>
        </w:rPr>
        <w:t>23个乡镇设置乡镇物流服务站，鼓励利用现有的镇级客运站场、商超、邮政、供销服务点等存量资源，增加物流相关设施，拓展快件代收寄、快件自提、下乡消费品、进城农产品暂存等服务，提高寄递物流效率。</w:t>
      </w:r>
      <w:r>
        <w:rPr>
          <w:lang w:val="en-US" w:eastAsia="zh-CN"/>
        </w:rPr>
        <w:t>设置村级寄递物流综合服务站点，作</w:t>
      </w:r>
      <w:r>
        <w:rPr>
          <w:rFonts w:hint="eastAsia"/>
          <w:lang w:val="en-US" w:eastAsia="zh-CN"/>
        </w:rPr>
        <w:t>为区</w:t>
      </w:r>
      <w:r>
        <w:rPr>
          <w:lang w:val="en-US" w:eastAsia="zh-CN"/>
        </w:rPr>
        <w:t>域寄递物流体系的基层网点，鼓励利用党群服务中心、商</w:t>
      </w:r>
      <w:r>
        <w:rPr>
          <w:rFonts w:hint="eastAsia"/>
          <w:lang w:val="en-US" w:eastAsia="zh-CN"/>
        </w:rPr>
        <w:t>店、合作社等载体提供物流服务，实现运力整合、快递进村，打通农村物流“最后一公里”。鼓励农业经营主体对接电商、快递、物流企业，发展农产品产地“电子商务＋产地仓＋快递物流”仓配融合模式，利用农村邮政快递网（站）点等推动“互联网+”农产品出村进城，提高农产品上行效率。</w:t>
      </w:r>
    </w:p>
    <w:p w14:paraId="44500937">
      <w:pPr>
        <w:bidi w:val="0"/>
      </w:pPr>
      <w:r>
        <w:rPr>
          <w:b/>
          <w:bCs/>
          <w:lang w:val="en-US" w:eastAsia="zh-CN"/>
        </w:rPr>
        <w:t>发展商贸物流新业态新模式</w:t>
      </w:r>
      <w:r>
        <w:rPr>
          <w:rFonts w:hint="eastAsia"/>
          <w:b/>
          <w:bCs/>
          <w:lang w:val="en-US" w:eastAsia="zh-CN"/>
        </w:rPr>
        <w:t>。</w:t>
      </w:r>
      <w:r>
        <w:rPr>
          <w:rFonts w:hint="eastAsia"/>
          <w:lang w:val="en-US" w:eastAsia="zh-CN"/>
        </w:rPr>
        <w:t>鼓励商贸服务企业与物流企业深化合作，促进自营物流与第三方物流协调发展。发展共同配送等集约化配送模式，整合县域邮政、供销、快递、商贸等物流资源，发挥连锁商贸流通企业自建物流优势，开</w:t>
      </w:r>
      <w:r>
        <w:rPr>
          <w:lang w:val="en-US" w:eastAsia="zh-CN"/>
        </w:rPr>
        <w:t>展日用消费品、农资下乡和农产品进城等物流快递共同配送</w:t>
      </w:r>
      <w:r>
        <w:rPr>
          <w:rFonts w:hint="eastAsia"/>
          <w:lang w:val="en-US" w:eastAsia="zh-CN"/>
        </w:rPr>
        <w:t>服务，降低物流成本。引入专业物流企业、知名电商企业、大型快递企业发展智慧物流、供应链物流、冷链物流等业态，本土推广复制物流先进技术和管理模式。围绕电商、快递等货物的主要流向、流量，探索发展高铁快运。</w:t>
      </w:r>
    </w:p>
    <w:p w14:paraId="0CAE6504">
      <w:pPr>
        <w:pStyle w:val="3"/>
        <w:bidi w:val="0"/>
        <w:rPr>
          <w:rFonts w:hint="default"/>
          <w:highlight w:val="none"/>
          <w:lang w:val="en-US" w:eastAsia="zh-CN"/>
        </w:rPr>
      </w:pPr>
      <w:bookmarkStart w:id="120" w:name="_Toc17846"/>
      <w:bookmarkStart w:id="121" w:name="_Toc10110"/>
      <w:bookmarkStart w:id="122" w:name="_Toc28228"/>
      <w:r>
        <w:rPr>
          <w:rFonts w:hint="eastAsia"/>
          <w:highlight w:val="none"/>
          <w:lang w:val="en-US" w:eastAsia="zh-CN"/>
        </w:rPr>
        <w:t>招商方向</w:t>
      </w:r>
      <w:bookmarkEnd w:id="120"/>
      <w:bookmarkEnd w:id="121"/>
      <w:bookmarkEnd w:id="122"/>
    </w:p>
    <w:p w14:paraId="5A3305AB">
      <w:pPr>
        <w:numPr>
          <w:ilvl w:val="0"/>
          <w:numId w:val="5"/>
        </w:numPr>
        <w:bidi w:val="0"/>
        <w:rPr>
          <w:rFonts w:hint="eastAsia"/>
          <w:b w:val="0"/>
          <w:bCs/>
          <w:lang w:val="en-US" w:eastAsia="zh-CN"/>
        </w:rPr>
      </w:pPr>
      <w:r>
        <w:rPr>
          <w:rFonts w:hint="eastAsia"/>
          <w:b w:val="0"/>
          <w:bCs/>
          <w:lang w:eastAsia="zh-CN"/>
        </w:rPr>
        <w:t>绿色农产品综合物流中心</w:t>
      </w:r>
    </w:p>
    <w:p w14:paraId="0483CB94">
      <w:pPr>
        <w:pStyle w:val="11"/>
        <w:bidi w:val="0"/>
        <w:rPr>
          <w:rFonts w:hint="default"/>
          <w:lang w:val="en-US"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1</w:t>
      </w:r>
      <w:r>
        <w:fldChar w:fldCharType="end"/>
      </w:r>
      <w:r>
        <w:rPr>
          <w:rFonts w:hint="eastAsia"/>
          <w:lang w:val="en-US" w:eastAsia="zh-CN"/>
        </w:rPr>
        <w:t xml:space="preserve"> </w:t>
      </w:r>
      <w:r>
        <w:rPr>
          <w:rFonts w:hint="eastAsia"/>
          <w:lang w:eastAsia="zh-CN"/>
        </w:rPr>
        <w:t>绿色农产品综合物流中心</w:t>
      </w:r>
      <w:r>
        <w:rPr>
          <w:rFonts w:hint="eastAsia"/>
          <w:lang w:val="en-US" w:eastAsia="zh-CN"/>
        </w:rPr>
        <w:t>招商方向表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1907"/>
        <w:gridCol w:w="5754"/>
      </w:tblGrid>
      <w:tr w14:paraId="0E3D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94D6C67">
            <w:pPr>
              <w:pStyle w:val="25"/>
              <w:bidi w:val="0"/>
              <w:rPr>
                <w:rFonts w:hint="default"/>
                <w:lang w:val="en-US"/>
              </w:rPr>
            </w:pPr>
          </w:p>
        </w:tc>
        <w:tc>
          <w:tcPr>
            <w:tcW w:w="0" w:type="auto"/>
            <w:vAlign w:val="center"/>
          </w:tcPr>
          <w:p w14:paraId="5A65289E">
            <w:pPr>
              <w:pStyle w:val="25"/>
              <w:bidi w:val="0"/>
              <w:rPr>
                <w:rFonts w:hint="default"/>
                <w:lang w:val="en-US"/>
              </w:rPr>
            </w:pPr>
            <w:r>
              <w:rPr>
                <w:rFonts w:hint="default"/>
                <w:lang w:val="en-US"/>
              </w:rPr>
              <w:t>产业内容</w:t>
            </w:r>
          </w:p>
        </w:tc>
        <w:tc>
          <w:tcPr>
            <w:tcW w:w="0" w:type="auto"/>
            <w:vAlign w:val="center"/>
          </w:tcPr>
          <w:p w14:paraId="65886BF8">
            <w:pPr>
              <w:pStyle w:val="25"/>
              <w:bidi w:val="0"/>
              <w:rPr>
                <w:rFonts w:hint="default"/>
                <w:lang w:val="en-US"/>
              </w:rPr>
            </w:pPr>
            <w:r>
              <w:rPr>
                <w:rFonts w:hint="default"/>
                <w:lang w:val="en-US"/>
              </w:rPr>
              <w:t>招商面向地区或企业</w:t>
            </w:r>
          </w:p>
        </w:tc>
      </w:tr>
      <w:tr w14:paraId="152F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7D711AEA">
            <w:pPr>
              <w:pStyle w:val="25"/>
              <w:bidi w:val="0"/>
              <w:rPr>
                <w:rFonts w:hint="eastAsia" w:eastAsia="仿宋_GB2312"/>
                <w:lang w:val="en-US" w:eastAsia="zh-CN"/>
              </w:rPr>
            </w:pPr>
            <w:r>
              <w:rPr>
                <w:rFonts w:hint="eastAsia"/>
                <w:lang w:val="en-US" w:eastAsia="zh-CN"/>
              </w:rPr>
              <w:t>绿色农产品综合物流中心</w:t>
            </w:r>
          </w:p>
        </w:tc>
        <w:tc>
          <w:tcPr>
            <w:tcW w:w="0" w:type="auto"/>
            <w:vAlign w:val="center"/>
          </w:tcPr>
          <w:p w14:paraId="5E4EBE7D">
            <w:pPr>
              <w:pStyle w:val="25"/>
              <w:bidi w:val="0"/>
              <w:rPr>
                <w:rFonts w:hint="default"/>
                <w:lang w:val="en-US"/>
              </w:rPr>
            </w:pPr>
            <w:r>
              <w:rPr>
                <w:rFonts w:hint="default"/>
                <w:lang w:val="en-US"/>
              </w:rPr>
              <w:t>包装菜</w:t>
            </w:r>
          </w:p>
        </w:tc>
        <w:tc>
          <w:tcPr>
            <w:tcW w:w="0" w:type="auto"/>
            <w:vAlign w:val="center"/>
          </w:tcPr>
          <w:p w14:paraId="5EA77FBD">
            <w:pPr>
              <w:pStyle w:val="25"/>
              <w:bidi w:val="0"/>
              <w:rPr>
                <w:rFonts w:hint="default"/>
                <w:lang w:val="en-US"/>
              </w:rPr>
            </w:pPr>
            <w:r>
              <w:rPr>
                <w:rFonts w:hint="default"/>
                <w:lang w:val="en-US"/>
              </w:rPr>
              <w:t>面向地区：山东省、广东省、福建省、浙江省、江苏省和上海市。</w:t>
            </w:r>
          </w:p>
          <w:p w14:paraId="74291771">
            <w:pPr>
              <w:pStyle w:val="25"/>
              <w:bidi w:val="0"/>
              <w:rPr>
                <w:rFonts w:hint="default"/>
                <w:lang w:val="en-US"/>
              </w:rPr>
            </w:pPr>
            <w:r>
              <w:rPr>
                <w:rFonts w:hint="default"/>
                <w:lang w:val="en-US"/>
              </w:rPr>
              <w:t>重点招引生产企业：恒兴水产、千般就、国联水产、生生农业、明基水产、品珍鲜活、鸿骏膳食、好来客、郝菜肴、广州酒家、蒸烩煮、德保膳食、望家欢等等</w:t>
            </w:r>
            <w:r>
              <w:rPr>
                <w:rFonts w:hint="eastAsia"/>
                <w:lang w:val="en-US" w:eastAsia="zh-CN"/>
              </w:rPr>
              <w:t>；</w:t>
            </w:r>
            <w:r>
              <w:rPr>
                <w:rFonts w:hint="default"/>
                <w:lang w:val="en-US"/>
              </w:rPr>
              <w:t>包装菜配套企业：利达包装、粤泰冷链、华雪冷链、保事达、蓝链、东方佳源、清湖冷链、智谷天厨、德捷力、顺丰速运等等。</w:t>
            </w:r>
          </w:p>
        </w:tc>
      </w:tr>
      <w:tr w14:paraId="59F9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081C65A1">
            <w:pPr>
              <w:pStyle w:val="25"/>
              <w:bidi w:val="0"/>
              <w:rPr>
                <w:rFonts w:hint="default"/>
                <w:lang w:val="en-US"/>
              </w:rPr>
            </w:pPr>
          </w:p>
        </w:tc>
        <w:tc>
          <w:tcPr>
            <w:tcW w:w="0" w:type="auto"/>
            <w:vAlign w:val="center"/>
          </w:tcPr>
          <w:p w14:paraId="6104E43B">
            <w:pPr>
              <w:pStyle w:val="25"/>
              <w:bidi w:val="0"/>
              <w:rPr>
                <w:rFonts w:hint="default"/>
                <w:lang w:val="en-US"/>
              </w:rPr>
            </w:pPr>
            <w:r>
              <w:rPr>
                <w:rFonts w:hint="default"/>
                <w:lang w:val="en-US"/>
              </w:rPr>
              <w:t>农产品深加工（粮食、肉类）、蔬果肉类交易、仓储（冷库）</w:t>
            </w:r>
          </w:p>
        </w:tc>
        <w:tc>
          <w:tcPr>
            <w:tcW w:w="0" w:type="auto"/>
            <w:vAlign w:val="center"/>
          </w:tcPr>
          <w:p w14:paraId="566ACD52">
            <w:pPr>
              <w:pStyle w:val="25"/>
              <w:bidi w:val="0"/>
              <w:rPr>
                <w:rFonts w:hint="default"/>
                <w:lang w:val="en-US"/>
              </w:rPr>
            </w:pPr>
            <w:r>
              <w:rPr>
                <w:rFonts w:hint="default"/>
                <w:lang w:val="en-US"/>
              </w:rPr>
              <w:t>重点招引生产企业：蓝城集团、上海禾丰、卡尔斯中国、人良生物科技等来自上海及周边地区。</w:t>
            </w:r>
          </w:p>
          <w:p w14:paraId="3B637BC7">
            <w:pPr>
              <w:pStyle w:val="25"/>
              <w:bidi w:val="0"/>
              <w:rPr>
                <w:rFonts w:hint="default"/>
                <w:lang w:val="en-US"/>
              </w:rPr>
            </w:pPr>
            <w:r>
              <w:rPr>
                <w:rFonts w:hint="default"/>
                <w:lang w:val="en-US"/>
              </w:rPr>
              <w:t>双汇集团、中储粮、好邻居、温氏、唯怡、双胞胎集团等。</w:t>
            </w:r>
          </w:p>
        </w:tc>
      </w:tr>
    </w:tbl>
    <w:p w14:paraId="5F69EA36">
      <w:pPr>
        <w:pStyle w:val="24"/>
        <w:bidi w:val="0"/>
        <w:rPr>
          <w:highlight w:val="none"/>
        </w:rPr>
      </w:pPr>
      <w:r>
        <w:drawing>
          <wp:inline distT="0" distB="0" distL="114300" distR="114300">
            <wp:extent cx="5271135" cy="6034405"/>
            <wp:effectExtent l="0" t="0" r="5715" b="4445"/>
            <wp:docPr id="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pic:cNvPicPr>
                      <a:picLocks noChangeAspect="1"/>
                    </pic:cNvPicPr>
                  </pic:nvPicPr>
                  <pic:blipFill>
                    <a:blip r:embed="rId34"/>
                    <a:stretch>
                      <a:fillRect/>
                    </a:stretch>
                  </pic:blipFill>
                  <pic:spPr>
                    <a:xfrm>
                      <a:off x="0" y="0"/>
                      <a:ext cx="5271135" cy="6034405"/>
                    </a:xfrm>
                    <a:prstGeom prst="rect">
                      <a:avLst/>
                    </a:prstGeom>
                    <a:noFill/>
                    <a:ln>
                      <a:noFill/>
                    </a:ln>
                  </pic:spPr>
                </pic:pic>
              </a:graphicData>
            </a:graphic>
          </wp:inline>
        </w:drawing>
      </w:r>
    </w:p>
    <w:p w14:paraId="19C9DC52">
      <w:pPr>
        <w:pStyle w:val="11"/>
        <w:bidi w:val="0"/>
        <w:rPr>
          <w:rFonts w:hint="default"/>
          <w:highlight w:val="none"/>
          <w:lang w:val="en-US"/>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val="en-US" w:eastAsia="zh-CN"/>
        </w:rPr>
        <w:t xml:space="preserve"> </w:t>
      </w:r>
      <w:r>
        <w:rPr>
          <w:rFonts w:hint="eastAsia"/>
          <w:highlight w:val="none"/>
          <w:lang w:val="en-US" w:eastAsia="zh-CN"/>
        </w:rPr>
        <w:t>绿色农产品综合物流中心点位图</w:t>
      </w:r>
    </w:p>
    <w:p w14:paraId="042566F9">
      <w:pPr>
        <w:numPr>
          <w:ilvl w:val="0"/>
          <w:numId w:val="5"/>
        </w:numPr>
        <w:bidi w:val="0"/>
        <w:rPr>
          <w:rFonts w:hint="eastAsia"/>
          <w:lang w:val="en-US" w:eastAsia="zh-CN"/>
        </w:rPr>
      </w:pPr>
      <w:r>
        <w:rPr>
          <w:rFonts w:hint="eastAsia"/>
          <w:lang w:val="en-US" w:eastAsia="zh-CN"/>
        </w:rPr>
        <w:t>绿色硅砂及装备制造物流中心</w:t>
      </w:r>
    </w:p>
    <w:p w14:paraId="10B1C283">
      <w:pPr>
        <w:pStyle w:val="11"/>
        <w:bidi w:val="0"/>
        <w:rPr>
          <w:rFonts w:hint="eastAsia"/>
          <w:lang w:val="en-US"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2</w:t>
      </w:r>
      <w:r>
        <w:fldChar w:fldCharType="end"/>
      </w:r>
      <w:r>
        <w:rPr>
          <w:rFonts w:hint="eastAsia"/>
          <w:lang w:val="en-US" w:eastAsia="zh-CN"/>
        </w:rPr>
        <w:t xml:space="preserve"> 绿色硅砂及装备制造物流中心招商方向表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3"/>
        <w:gridCol w:w="1662"/>
        <w:gridCol w:w="4917"/>
      </w:tblGrid>
      <w:tr w14:paraId="6B7B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43" w:type="dxa"/>
            <w:vAlign w:val="center"/>
          </w:tcPr>
          <w:p w14:paraId="2D3E1BD0">
            <w:pPr>
              <w:pStyle w:val="25"/>
              <w:bidi w:val="0"/>
              <w:rPr>
                <w:rFonts w:hint="default"/>
                <w:b w:val="0"/>
                <w:bCs/>
                <w:highlight w:val="none"/>
                <w:lang w:val="en-US"/>
              </w:rPr>
            </w:pPr>
          </w:p>
        </w:tc>
        <w:tc>
          <w:tcPr>
            <w:tcW w:w="1662" w:type="dxa"/>
            <w:vAlign w:val="center"/>
          </w:tcPr>
          <w:p w14:paraId="025DB405">
            <w:pPr>
              <w:pStyle w:val="25"/>
              <w:bidi w:val="0"/>
              <w:rPr>
                <w:rFonts w:hint="default"/>
                <w:b w:val="0"/>
                <w:bCs/>
                <w:highlight w:val="none"/>
                <w:lang w:val="en-US"/>
              </w:rPr>
            </w:pPr>
            <w:r>
              <w:rPr>
                <w:rFonts w:hint="default"/>
                <w:b w:val="0"/>
                <w:bCs/>
                <w:highlight w:val="none"/>
                <w:lang w:val="en-US"/>
              </w:rPr>
              <w:t>产业内容</w:t>
            </w:r>
          </w:p>
        </w:tc>
        <w:tc>
          <w:tcPr>
            <w:tcW w:w="4917" w:type="dxa"/>
            <w:vAlign w:val="center"/>
          </w:tcPr>
          <w:p w14:paraId="73744F09">
            <w:pPr>
              <w:pStyle w:val="25"/>
              <w:bidi w:val="0"/>
              <w:rPr>
                <w:rFonts w:hint="default"/>
                <w:b w:val="0"/>
                <w:bCs/>
                <w:highlight w:val="none"/>
                <w:lang w:val="en-US"/>
              </w:rPr>
            </w:pPr>
            <w:r>
              <w:rPr>
                <w:rFonts w:hint="default"/>
                <w:b w:val="0"/>
                <w:bCs/>
                <w:highlight w:val="none"/>
                <w:lang w:val="en-US"/>
              </w:rPr>
              <w:t>招商面向地区或企业</w:t>
            </w:r>
          </w:p>
        </w:tc>
      </w:tr>
      <w:tr w14:paraId="3A890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43" w:type="dxa"/>
            <w:vMerge w:val="restart"/>
            <w:vAlign w:val="center"/>
          </w:tcPr>
          <w:p w14:paraId="4FBD91A1">
            <w:pPr>
              <w:pStyle w:val="25"/>
              <w:bidi w:val="0"/>
              <w:rPr>
                <w:rFonts w:hint="eastAsia" w:eastAsia="仿宋_GB2312"/>
                <w:b w:val="0"/>
                <w:bCs/>
                <w:highlight w:val="none"/>
                <w:lang w:val="en-US" w:eastAsia="zh-CN"/>
              </w:rPr>
            </w:pPr>
            <w:r>
              <w:rPr>
                <w:rFonts w:hint="default"/>
                <w:b w:val="0"/>
                <w:bCs/>
                <w:highlight w:val="none"/>
                <w:lang w:val="en-US"/>
              </w:rPr>
              <w:t>绿色硅砂及装备制造物流</w:t>
            </w:r>
            <w:r>
              <w:rPr>
                <w:rFonts w:hint="eastAsia"/>
                <w:b w:val="0"/>
                <w:bCs/>
                <w:highlight w:val="none"/>
                <w:lang w:val="en-US" w:eastAsia="zh-CN"/>
              </w:rPr>
              <w:t>中心</w:t>
            </w:r>
          </w:p>
        </w:tc>
        <w:tc>
          <w:tcPr>
            <w:tcW w:w="1662" w:type="dxa"/>
            <w:vAlign w:val="center"/>
          </w:tcPr>
          <w:p w14:paraId="1ECCDBBB">
            <w:pPr>
              <w:pStyle w:val="25"/>
              <w:bidi w:val="0"/>
              <w:rPr>
                <w:rFonts w:hint="default"/>
                <w:b w:val="0"/>
                <w:bCs/>
                <w:highlight w:val="none"/>
                <w:lang w:val="en-US"/>
              </w:rPr>
            </w:pPr>
            <w:r>
              <w:rPr>
                <w:rFonts w:hint="default"/>
                <w:b w:val="0"/>
                <w:bCs/>
                <w:highlight w:val="none"/>
                <w:lang w:val="en-US"/>
              </w:rPr>
              <w:t>硅砂深加工</w:t>
            </w:r>
          </w:p>
        </w:tc>
        <w:tc>
          <w:tcPr>
            <w:tcW w:w="4917" w:type="dxa"/>
            <w:vAlign w:val="center"/>
          </w:tcPr>
          <w:p w14:paraId="4E16F1BD">
            <w:pPr>
              <w:pStyle w:val="25"/>
              <w:bidi w:val="0"/>
              <w:rPr>
                <w:rFonts w:hint="default"/>
                <w:b w:val="0"/>
                <w:bCs/>
                <w:highlight w:val="none"/>
                <w:lang w:val="en-US"/>
              </w:rPr>
            </w:pPr>
            <w:r>
              <w:rPr>
                <w:rFonts w:hint="default"/>
                <w:b w:val="0"/>
                <w:bCs/>
                <w:highlight w:val="none"/>
                <w:lang w:val="en-US"/>
              </w:rPr>
              <w:t>面向地区：锦州、大连、营口、东部沿海省份</w:t>
            </w:r>
          </w:p>
          <w:p w14:paraId="5C970EBB">
            <w:pPr>
              <w:pStyle w:val="25"/>
              <w:bidi w:val="0"/>
              <w:rPr>
                <w:rFonts w:hint="default"/>
                <w:b w:val="0"/>
                <w:bCs/>
                <w:highlight w:val="none"/>
                <w:lang w:val="en-US"/>
              </w:rPr>
            </w:pPr>
            <w:r>
              <w:rPr>
                <w:rFonts w:hint="default"/>
                <w:b w:val="0"/>
                <w:bCs/>
                <w:highlight w:val="none"/>
                <w:lang w:val="en-US"/>
              </w:rPr>
              <w:t>重点招引生产企业：高腾国际、嘉晋供应链（厦门）股份有限公司等</w:t>
            </w:r>
          </w:p>
        </w:tc>
      </w:tr>
      <w:tr w14:paraId="2DD95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43" w:type="dxa"/>
            <w:vMerge w:val="continue"/>
            <w:vAlign w:val="center"/>
          </w:tcPr>
          <w:p w14:paraId="07B3C215">
            <w:pPr>
              <w:pStyle w:val="25"/>
              <w:bidi w:val="0"/>
              <w:rPr>
                <w:rFonts w:hint="default"/>
                <w:b w:val="0"/>
                <w:bCs/>
                <w:highlight w:val="none"/>
                <w:lang w:val="en-US"/>
              </w:rPr>
            </w:pPr>
          </w:p>
        </w:tc>
        <w:tc>
          <w:tcPr>
            <w:tcW w:w="1662" w:type="dxa"/>
            <w:vAlign w:val="center"/>
          </w:tcPr>
          <w:p w14:paraId="2ACB0143">
            <w:pPr>
              <w:pStyle w:val="25"/>
              <w:bidi w:val="0"/>
              <w:rPr>
                <w:rFonts w:hint="default"/>
                <w:b w:val="0"/>
                <w:bCs/>
                <w:highlight w:val="none"/>
                <w:lang w:val="en-US"/>
              </w:rPr>
            </w:pPr>
            <w:r>
              <w:rPr>
                <w:rFonts w:hint="default"/>
                <w:b w:val="0"/>
                <w:bCs/>
                <w:highlight w:val="none"/>
                <w:lang w:val="en-US"/>
              </w:rPr>
              <w:t>装备制造及配套\高端建材</w:t>
            </w:r>
          </w:p>
        </w:tc>
        <w:tc>
          <w:tcPr>
            <w:tcW w:w="4917" w:type="dxa"/>
            <w:vAlign w:val="center"/>
          </w:tcPr>
          <w:p w14:paraId="480814AB">
            <w:pPr>
              <w:pStyle w:val="25"/>
              <w:bidi w:val="0"/>
              <w:rPr>
                <w:rFonts w:hint="default"/>
                <w:b w:val="0"/>
                <w:bCs/>
                <w:highlight w:val="none"/>
                <w:lang w:val="en-US"/>
              </w:rPr>
            </w:pPr>
            <w:r>
              <w:rPr>
                <w:rFonts w:hint="default"/>
                <w:b w:val="0"/>
                <w:bCs/>
                <w:highlight w:val="none"/>
                <w:lang w:val="en-US"/>
              </w:rPr>
              <w:t>面向地区：沈阳、长春、锦州、大连、营口、东部沿海省份</w:t>
            </w:r>
          </w:p>
          <w:p w14:paraId="3D039D11">
            <w:pPr>
              <w:pStyle w:val="25"/>
              <w:bidi w:val="0"/>
              <w:rPr>
                <w:rFonts w:hint="default"/>
                <w:b w:val="0"/>
                <w:bCs/>
                <w:highlight w:val="none"/>
                <w:lang w:val="en-US"/>
              </w:rPr>
            </w:pPr>
            <w:r>
              <w:rPr>
                <w:rFonts w:hint="default"/>
                <w:b w:val="0"/>
                <w:bCs/>
                <w:highlight w:val="none"/>
                <w:lang w:val="en-US"/>
              </w:rPr>
              <w:t>重点招引生产企业：中国建材集团、中铁铁龙集装箱物流股份有限公司、亚泰建材集团等</w:t>
            </w:r>
          </w:p>
        </w:tc>
      </w:tr>
      <w:tr w14:paraId="26A3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43" w:type="dxa"/>
            <w:vMerge w:val="continue"/>
            <w:vAlign w:val="center"/>
          </w:tcPr>
          <w:p w14:paraId="49D81D9C">
            <w:pPr>
              <w:pStyle w:val="25"/>
              <w:bidi w:val="0"/>
              <w:rPr>
                <w:rFonts w:hint="default"/>
                <w:b w:val="0"/>
                <w:bCs/>
                <w:highlight w:val="none"/>
                <w:lang w:val="en-US"/>
              </w:rPr>
            </w:pPr>
          </w:p>
        </w:tc>
        <w:tc>
          <w:tcPr>
            <w:tcW w:w="1662" w:type="dxa"/>
            <w:vAlign w:val="center"/>
          </w:tcPr>
          <w:p w14:paraId="46B8F17A">
            <w:pPr>
              <w:pStyle w:val="25"/>
              <w:bidi w:val="0"/>
              <w:rPr>
                <w:rFonts w:hint="default"/>
                <w:b w:val="0"/>
                <w:bCs/>
                <w:highlight w:val="none"/>
                <w:lang w:val="en-US"/>
              </w:rPr>
            </w:pPr>
            <w:r>
              <w:rPr>
                <w:rFonts w:hint="default"/>
                <w:b w:val="0"/>
                <w:bCs/>
                <w:highlight w:val="none"/>
                <w:lang w:val="en-US"/>
              </w:rPr>
              <w:t>电商</w:t>
            </w:r>
          </w:p>
        </w:tc>
        <w:tc>
          <w:tcPr>
            <w:tcW w:w="4917" w:type="dxa"/>
            <w:vAlign w:val="center"/>
          </w:tcPr>
          <w:p w14:paraId="68C756E7">
            <w:pPr>
              <w:pStyle w:val="25"/>
              <w:bidi w:val="0"/>
              <w:rPr>
                <w:rFonts w:hint="default"/>
                <w:b w:val="0"/>
                <w:bCs/>
                <w:highlight w:val="none"/>
                <w:lang w:val="en-US"/>
              </w:rPr>
            </w:pPr>
            <w:r>
              <w:rPr>
                <w:rFonts w:hint="default"/>
                <w:b w:val="0"/>
                <w:bCs/>
                <w:highlight w:val="none"/>
                <w:lang w:val="en-US"/>
              </w:rPr>
              <w:t>面向地区：北京、天津、上海、东部沿海省份</w:t>
            </w:r>
          </w:p>
          <w:p w14:paraId="25719CAE">
            <w:pPr>
              <w:pStyle w:val="25"/>
              <w:bidi w:val="0"/>
              <w:rPr>
                <w:rFonts w:hint="default"/>
                <w:b w:val="0"/>
                <w:bCs/>
                <w:highlight w:val="none"/>
                <w:lang w:val="en-US"/>
              </w:rPr>
            </w:pPr>
            <w:r>
              <w:rPr>
                <w:rFonts w:hint="default"/>
                <w:b w:val="0"/>
                <w:bCs/>
                <w:highlight w:val="none"/>
                <w:lang w:val="en-US"/>
              </w:rPr>
              <w:t>重点招引生产企业：京东、顺</w:t>
            </w:r>
            <w:r>
              <w:rPr>
                <w:rFonts w:hint="eastAsia"/>
                <w:b w:val="0"/>
                <w:bCs/>
                <w:highlight w:val="none"/>
                <w:lang w:val="en-US" w:eastAsia="zh-CN"/>
              </w:rPr>
              <w:t>丰</w:t>
            </w:r>
            <w:r>
              <w:rPr>
                <w:rFonts w:hint="default"/>
                <w:b w:val="0"/>
                <w:bCs/>
                <w:highlight w:val="none"/>
                <w:lang w:val="en-US"/>
              </w:rPr>
              <w:t>、菜鸟等</w:t>
            </w:r>
          </w:p>
        </w:tc>
      </w:tr>
    </w:tbl>
    <w:p w14:paraId="014443C8">
      <w:pPr>
        <w:pStyle w:val="24"/>
        <w:bidi w:val="0"/>
        <w:rPr>
          <w:highlight w:val="none"/>
        </w:rPr>
      </w:pPr>
      <w:r>
        <w:drawing>
          <wp:inline distT="0" distB="0" distL="114300" distR="114300">
            <wp:extent cx="5266690" cy="6038850"/>
            <wp:effectExtent l="0" t="0" r="10160" b="0"/>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35"/>
                    <a:stretch>
                      <a:fillRect/>
                    </a:stretch>
                  </pic:blipFill>
                  <pic:spPr>
                    <a:xfrm>
                      <a:off x="0" y="0"/>
                      <a:ext cx="5266690" cy="6038850"/>
                    </a:xfrm>
                    <a:prstGeom prst="rect">
                      <a:avLst/>
                    </a:prstGeom>
                    <a:noFill/>
                    <a:ln>
                      <a:noFill/>
                    </a:ln>
                  </pic:spPr>
                </pic:pic>
              </a:graphicData>
            </a:graphic>
          </wp:inline>
        </w:drawing>
      </w:r>
    </w:p>
    <w:p w14:paraId="107221A8">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rPr>
          <w:rFonts w:hint="eastAsia"/>
          <w:lang w:val="en-US" w:eastAsia="zh-CN"/>
        </w:rPr>
        <w:t xml:space="preserve"> </w:t>
      </w:r>
      <w:r>
        <w:rPr>
          <w:rFonts w:hint="eastAsia"/>
          <w:highlight w:val="none"/>
          <w:lang w:val="en-US" w:eastAsia="zh-CN"/>
        </w:rPr>
        <w:t>绿色硅砂及装备制造物流中心点位图</w:t>
      </w:r>
    </w:p>
    <w:p w14:paraId="09FCEDFA">
      <w:pPr>
        <w:numPr>
          <w:ilvl w:val="0"/>
          <w:numId w:val="5"/>
        </w:numPr>
        <w:bidi w:val="0"/>
        <w:ind w:left="0" w:leftChars="0" w:firstLine="560" w:firstLineChars="200"/>
        <w:rPr>
          <w:rFonts w:hint="eastAsia"/>
          <w:highlight w:val="none"/>
          <w:lang w:val="en-US" w:eastAsia="zh-CN"/>
        </w:rPr>
      </w:pPr>
      <w:r>
        <w:rPr>
          <w:rFonts w:hint="eastAsia"/>
          <w:highlight w:val="none"/>
          <w:lang w:val="en-US" w:eastAsia="zh-CN"/>
        </w:rPr>
        <w:t>中心城区综合服务物流中心</w:t>
      </w:r>
    </w:p>
    <w:p w14:paraId="7E692833">
      <w:pPr>
        <w:pStyle w:val="11"/>
        <w:bidi w:val="0"/>
        <w:rPr>
          <w:rFonts w:hint="eastAsia"/>
          <w:lang w:val="en-US"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3</w:t>
      </w:r>
      <w:r>
        <w:fldChar w:fldCharType="end"/>
      </w:r>
      <w:r>
        <w:rPr>
          <w:rFonts w:hint="eastAsia"/>
          <w:lang w:val="en-US" w:eastAsia="zh-CN"/>
        </w:rPr>
        <w:t xml:space="preserve"> 中心城区综合服务物流中心招商方向表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3233"/>
        <w:gridCol w:w="3987"/>
      </w:tblGrid>
      <w:tr w14:paraId="66C8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F18D49D">
            <w:pPr>
              <w:pStyle w:val="25"/>
              <w:bidi w:val="0"/>
              <w:rPr>
                <w:rFonts w:hint="default"/>
                <w:b w:val="0"/>
                <w:bCs/>
                <w:highlight w:val="none"/>
                <w:lang w:val="en-US"/>
              </w:rPr>
            </w:pPr>
          </w:p>
        </w:tc>
        <w:tc>
          <w:tcPr>
            <w:tcW w:w="0" w:type="auto"/>
            <w:vAlign w:val="center"/>
          </w:tcPr>
          <w:p w14:paraId="3E185197">
            <w:pPr>
              <w:pStyle w:val="25"/>
              <w:bidi w:val="0"/>
              <w:rPr>
                <w:rFonts w:hint="default"/>
                <w:b w:val="0"/>
                <w:bCs/>
                <w:highlight w:val="none"/>
                <w:lang w:val="en-US"/>
              </w:rPr>
            </w:pPr>
            <w:r>
              <w:rPr>
                <w:rFonts w:hint="default"/>
                <w:b w:val="0"/>
                <w:bCs/>
                <w:highlight w:val="none"/>
                <w:lang w:val="en-US"/>
              </w:rPr>
              <w:t>产业内容</w:t>
            </w:r>
          </w:p>
        </w:tc>
        <w:tc>
          <w:tcPr>
            <w:tcW w:w="0" w:type="auto"/>
            <w:vAlign w:val="center"/>
          </w:tcPr>
          <w:p w14:paraId="677E5D20">
            <w:pPr>
              <w:pStyle w:val="25"/>
              <w:bidi w:val="0"/>
              <w:rPr>
                <w:rFonts w:hint="default"/>
                <w:b w:val="0"/>
                <w:bCs/>
                <w:highlight w:val="none"/>
                <w:lang w:val="en-US"/>
              </w:rPr>
            </w:pPr>
            <w:r>
              <w:rPr>
                <w:rFonts w:hint="default"/>
                <w:b w:val="0"/>
                <w:bCs/>
                <w:highlight w:val="none"/>
                <w:lang w:val="en-US"/>
              </w:rPr>
              <w:t>招商面向地区或企业</w:t>
            </w:r>
          </w:p>
        </w:tc>
      </w:tr>
      <w:tr w14:paraId="77EF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0FC630FE">
            <w:pPr>
              <w:pStyle w:val="25"/>
              <w:bidi w:val="0"/>
              <w:rPr>
                <w:rFonts w:hint="eastAsia" w:eastAsia="仿宋_GB2312"/>
                <w:b w:val="0"/>
                <w:bCs/>
                <w:highlight w:val="none"/>
                <w:lang w:val="en-US" w:eastAsia="zh-CN"/>
              </w:rPr>
            </w:pPr>
            <w:r>
              <w:rPr>
                <w:rFonts w:hint="default"/>
                <w:b w:val="0"/>
                <w:bCs/>
                <w:highlight w:val="none"/>
                <w:lang w:val="en-US"/>
              </w:rPr>
              <w:t>中心城区综合物流</w:t>
            </w:r>
            <w:r>
              <w:rPr>
                <w:rFonts w:hint="eastAsia"/>
                <w:b w:val="0"/>
                <w:bCs/>
                <w:highlight w:val="none"/>
                <w:lang w:val="en-US" w:eastAsia="zh-CN"/>
              </w:rPr>
              <w:t>中心</w:t>
            </w:r>
          </w:p>
        </w:tc>
        <w:tc>
          <w:tcPr>
            <w:tcW w:w="0" w:type="auto"/>
            <w:vAlign w:val="center"/>
          </w:tcPr>
          <w:p w14:paraId="0CD48194">
            <w:pPr>
              <w:pStyle w:val="25"/>
              <w:bidi w:val="0"/>
              <w:rPr>
                <w:rFonts w:hint="default"/>
                <w:b w:val="0"/>
                <w:bCs/>
                <w:highlight w:val="none"/>
                <w:lang w:val="en-US"/>
              </w:rPr>
            </w:pPr>
            <w:r>
              <w:rPr>
                <w:rFonts w:hint="default"/>
                <w:b w:val="0"/>
                <w:bCs/>
                <w:highlight w:val="none"/>
                <w:lang w:val="en-US"/>
              </w:rPr>
              <w:t>驿站（餐饮、汽车维修保养、综合服务、休憩-“司机之家”）</w:t>
            </w:r>
          </w:p>
        </w:tc>
        <w:tc>
          <w:tcPr>
            <w:tcW w:w="0" w:type="auto"/>
            <w:vAlign w:val="center"/>
          </w:tcPr>
          <w:p w14:paraId="077EA50A">
            <w:pPr>
              <w:pStyle w:val="25"/>
              <w:bidi w:val="0"/>
              <w:rPr>
                <w:rFonts w:hint="default"/>
                <w:b w:val="0"/>
                <w:bCs/>
                <w:highlight w:val="none"/>
                <w:lang w:val="en-US"/>
              </w:rPr>
            </w:pPr>
            <w:r>
              <w:rPr>
                <w:rFonts w:hint="default"/>
                <w:b w:val="0"/>
                <w:bCs/>
                <w:highlight w:val="none"/>
                <w:lang w:val="en-US"/>
              </w:rPr>
              <w:t>餐饮：麦当劳、肯德基、瑞幸咖啡、便利店、汽车维修加油、神州租车、一嗨租车等</w:t>
            </w:r>
          </w:p>
        </w:tc>
      </w:tr>
      <w:tr w14:paraId="62899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1FB65535">
            <w:pPr>
              <w:pStyle w:val="25"/>
              <w:bidi w:val="0"/>
              <w:rPr>
                <w:rFonts w:hint="default"/>
                <w:b w:val="0"/>
                <w:bCs/>
                <w:highlight w:val="none"/>
                <w:lang w:val="en-US"/>
              </w:rPr>
            </w:pPr>
          </w:p>
        </w:tc>
        <w:tc>
          <w:tcPr>
            <w:tcW w:w="0" w:type="auto"/>
            <w:vAlign w:val="center"/>
          </w:tcPr>
          <w:p w14:paraId="42CF4B78">
            <w:pPr>
              <w:pStyle w:val="25"/>
              <w:bidi w:val="0"/>
              <w:rPr>
                <w:rFonts w:hint="default"/>
                <w:b w:val="0"/>
                <w:bCs/>
                <w:highlight w:val="none"/>
                <w:lang w:val="en-US"/>
              </w:rPr>
            </w:pPr>
            <w:r>
              <w:rPr>
                <w:rFonts w:hint="default"/>
                <w:b w:val="0"/>
                <w:bCs/>
                <w:highlight w:val="none"/>
                <w:lang w:val="en-US"/>
              </w:rPr>
              <w:t>综合物流</w:t>
            </w:r>
          </w:p>
        </w:tc>
        <w:tc>
          <w:tcPr>
            <w:tcW w:w="0" w:type="auto"/>
            <w:vAlign w:val="center"/>
          </w:tcPr>
          <w:p w14:paraId="2C3476F0">
            <w:pPr>
              <w:pStyle w:val="25"/>
              <w:bidi w:val="0"/>
              <w:rPr>
                <w:rFonts w:hint="default"/>
                <w:b w:val="0"/>
                <w:bCs/>
                <w:highlight w:val="none"/>
                <w:lang w:val="en-US"/>
              </w:rPr>
            </w:pPr>
            <w:r>
              <w:rPr>
                <w:rFonts w:hint="default"/>
                <w:b w:val="0"/>
                <w:bCs/>
                <w:highlight w:val="none"/>
                <w:lang w:val="en-US"/>
              </w:rPr>
              <w:t>顺丰、德邦、中铁快运、中邮物流、中铁现代物流等</w:t>
            </w:r>
          </w:p>
        </w:tc>
      </w:tr>
    </w:tbl>
    <w:p w14:paraId="3359B9C4">
      <w:pPr>
        <w:pStyle w:val="24"/>
        <w:bidi w:val="0"/>
        <w:rPr>
          <w:highlight w:val="none"/>
        </w:rPr>
      </w:pPr>
      <w:r>
        <w:drawing>
          <wp:inline distT="0" distB="0" distL="114300" distR="114300">
            <wp:extent cx="5273040" cy="5111115"/>
            <wp:effectExtent l="0" t="0" r="3810" b="13335"/>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
                    <pic:cNvPicPr>
                      <a:picLocks noChangeAspect="1"/>
                    </pic:cNvPicPr>
                  </pic:nvPicPr>
                  <pic:blipFill>
                    <a:blip r:embed="rId36"/>
                    <a:srcRect t="8989"/>
                    <a:stretch>
                      <a:fillRect/>
                    </a:stretch>
                  </pic:blipFill>
                  <pic:spPr>
                    <a:xfrm>
                      <a:off x="0" y="0"/>
                      <a:ext cx="5273040" cy="5111115"/>
                    </a:xfrm>
                    <a:prstGeom prst="rect">
                      <a:avLst/>
                    </a:prstGeom>
                    <a:noFill/>
                    <a:ln>
                      <a:noFill/>
                    </a:ln>
                  </pic:spPr>
                </pic:pic>
              </a:graphicData>
            </a:graphic>
          </wp:inline>
        </w:drawing>
      </w:r>
    </w:p>
    <w:p w14:paraId="412304BF">
      <w:pPr>
        <w:pStyle w:val="11"/>
        <w:bidi w:val="0"/>
        <w:rPr>
          <w:rFonts w:hint="default"/>
          <w:highlight w:val="none"/>
          <w:lang w:val="en-US" w:eastAsia="zh-CN"/>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3</w:t>
      </w:r>
      <w:r>
        <w:fldChar w:fldCharType="end"/>
      </w:r>
      <w:r>
        <w:rPr>
          <w:rFonts w:hint="eastAsia"/>
          <w:lang w:val="en-US" w:eastAsia="zh-CN"/>
        </w:rPr>
        <w:t xml:space="preserve"> </w:t>
      </w:r>
      <w:r>
        <w:rPr>
          <w:rFonts w:hint="eastAsia"/>
          <w:highlight w:val="none"/>
          <w:lang w:val="en-US" w:eastAsia="zh-CN"/>
        </w:rPr>
        <w:t>中心城区综合服务物流中心点位图</w:t>
      </w:r>
    </w:p>
    <w:p w14:paraId="2F461801">
      <w:pPr>
        <w:numPr>
          <w:ilvl w:val="0"/>
          <w:numId w:val="5"/>
        </w:numPr>
        <w:bidi w:val="0"/>
        <w:ind w:left="0" w:leftChars="0" w:firstLine="560" w:firstLineChars="200"/>
        <w:rPr>
          <w:rFonts w:hint="eastAsia"/>
          <w:highlight w:val="none"/>
          <w:lang w:eastAsia="zh-CN"/>
        </w:rPr>
      </w:pPr>
      <w:r>
        <w:rPr>
          <w:rFonts w:hint="eastAsia"/>
          <w:highlight w:val="none"/>
          <w:lang w:eastAsia="zh-CN"/>
        </w:rPr>
        <w:t>北方家居建材物流中心</w:t>
      </w:r>
    </w:p>
    <w:p w14:paraId="2CE09B75">
      <w:pPr>
        <w:pStyle w:val="11"/>
        <w:bidi w:val="0"/>
        <w:rPr>
          <w:rFonts w:hint="eastAsia"/>
          <w:lang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4</w:t>
      </w:r>
      <w:r>
        <w:fldChar w:fldCharType="end"/>
      </w:r>
      <w:r>
        <w:rPr>
          <w:rFonts w:hint="eastAsia"/>
          <w:lang w:val="en-US" w:eastAsia="zh-CN"/>
        </w:rPr>
        <w:t xml:space="preserve"> </w:t>
      </w:r>
      <w:r>
        <w:rPr>
          <w:rFonts w:hint="eastAsia"/>
          <w:lang w:eastAsia="zh-CN"/>
        </w:rPr>
        <w:t>北方家居建材物流中心</w:t>
      </w:r>
      <w:r>
        <w:rPr>
          <w:rFonts w:hint="eastAsia"/>
          <w:lang w:val="en-US" w:eastAsia="zh-CN"/>
        </w:rPr>
        <w:t>招商方向表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4"/>
        <w:gridCol w:w="1800"/>
        <w:gridCol w:w="4678"/>
      </w:tblGrid>
      <w:tr w14:paraId="7E0D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4" w:type="dxa"/>
            <w:vAlign w:val="center"/>
          </w:tcPr>
          <w:p w14:paraId="55DEBB72">
            <w:pPr>
              <w:pStyle w:val="25"/>
              <w:bidi w:val="0"/>
              <w:rPr>
                <w:rFonts w:hint="default"/>
                <w:b w:val="0"/>
                <w:bCs/>
                <w:highlight w:val="none"/>
                <w:lang w:val="en-US"/>
              </w:rPr>
            </w:pPr>
          </w:p>
        </w:tc>
        <w:tc>
          <w:tcPr>
            <w:tcW w:w="1800" w:type="dxa"/>
            <w:vAlign w:val="center"/>
          </w:tcPr>
          <w:p w14:paraId="6D306248">
            <w:pPr>
              <w:pStyle w:val="25"/>
              <w:bidi w:val="0"/>
              <w:rPr>
                <w:rFonts w:hint="default"/>
                <w:b w:val="0"/>
                <w:bCs/>
                <w:highlight w:val="none"/>
                <w:lang w:val="en-US"/>
              </w:rPr>
            </w:pPr>
            <w:r>
              <w:rPr>
                <w:rFonts w:hint="default"/>
                <w:b w:val="0"/>
                <w:bCs/>
                <w:highlight w:val="none"/>
                <w:lang w:val="en-US"/>
              </w:rPr>
              <w:t>产业内容</w:t>
            </w:r>
          </w:p>
        </w:tc>
        <w:tc>
          <w:tcPr>
            <w:tcW w:w="4678" w:type="dxa"/>
            <w:vAlign w:val="center"/>
          </w:tcPr>
          <w:p w14:paraId="39B9FB60">
            <w:pPr>
              <w:pStyle w:val="25"/>
              <w:bidi w:val="0"/>
              <w:rPr>
                <w:rFonts w:hint="default"/>
                <w:b w:val="0"/>
                <w:bCs/>
                <w:highlight w:val="none"/>
                <w:lang w:val="en-US"/>
              </w:rPr>
            </w:pPr>
            <w:r>
              <w:rPr>
                <w:rFonts w:hint="default"/>
                <w:b w:val="0"/>
                <w:bCs/>
                <w:highlight w:val="none"/>
                <w:lang w:val="en-US"/>
              </w:rPr>
              <w:t>招商面向地区或企业</w:t>
            </w:r>
          </w:p>
        </w:tc>
      </w:tr>
      <w:tr w14:paraId="4B59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4" w:type="dxa"/>
            <w:vMerge w:val="restart"/>
            <w:vAlign w:val="center"/>
          </w:tcPr>
          <w:p w14:paraId="6CBC6A24">
            <w:pPr>
              <w:pStyle w:val="25"/>
              <w:bidi w:val="0"/>
              <w:rPr>
                <w:rFonts w:hint="eastAsia" w:eastAsia="仿宋_GB2312"/>
                <w:b w:val="0"/>
                <w:bCs/>
                <w:highlight w:val="none"/>
                <w:lang w:val="en-US" w:eastAsia="zh-CN"/>
              </w:rPr>
            </w:pPr>
            <w:r>
              <w:rPr>
                <w:rFonts w:hint="eastAsia"/>
                <w:b w:val="0"/>
                <w:bCs/>
                <w:highlight w:val="none"/>
                <w:lang w:val="en-US" w:eastAsia="zh-CN"/>
              </w:rPr>
              <w:t>北方家居建材物流中心</w:t>
            </w:r>
          </w:p>
        </w:tc>
        <w:tc>
          <w:tcPr>
            <w:tcW w:w="1800" w:type="dxa"/>
            <w:vAlign w:val="center"/>
          </w:tcPr>
          <w:p w14:paraId="42400ED6">
            <w:pPr>
              <w:pStyle w:val="25"/>
              <w:bidi w:val="0"/>
              <w:rPr>
                <w:rFonts w:hint="default"/>
                <w:b w:val="0"/>
                <w:bCs/>
                <w:highlight w:val="none"/>
                <w:lang w:val="en-US"/>
              </w:rPr>
            </w:pPr>
            <w:r>
              <w:rPr>
                <w:rFonts w:hint="eastAsia"/>
                <w:b w:val="0"/>
                <w:bCs/>
                <w:highlight w:val="none"/>
                <w:lang w:val="en-US" w:eastAsia="zh-CN"/>
              </w:rPr>
              <w:t>家居</w:t>
            </w:r>
            <w:r>
              <w:rPr>
                <w:rFonts w:hint="default"/>
                <w:b w:val="0"/>
                <w:bCs/>
                <w:highlight w:val="none"/>
                <w:lang w:val="en-US"/>
              </w:rPr>
              <w:t>仓储</w:t>
            </w:r>
          </w:p>
        </w:tc>
        <w:tc>
          <w:tcPr>
            <w:tcW w:w="4678" w:type="dxa"/>
            <w:vAlign w:val="center"/>
          </w:tcPr>
          <w:p w14:paraId="5A890F08">
            <w:pPr>
              <w:pStyle w:val="25"/>
              <w:bidi w:val="0"/>
              <w:rPr>
                <w:rFonts w:hint="default"/>
                <w:b w:val="0"/>
                <w:bCs/>
                <w:highlight w:val="none"/>
                <w:lang w:val="en-US"/>
              </w:rPr>
            </w:pPr>
            <w:r>
              <w:rPr>
                <w:rFonts w:hint="default"/>
                <w:b w:val="0"/>
                <w:bCs/>
                <w:highlight w:val="none"/>
                <w:lang w:val="en-US"/>
              </w:rPr>
              <w:t>招商</w:t>
            </w:r>
            <w:r>
              <w:rPr>
                <w:rFonts w:hint="eastAsia"/>
                <w:b w:val="0"/>
                <w:bCs/>
                <w:highlight w:val="none"/>
                <w:lang w:val="en-US" w:eastAsia="zh-CN"/>
              </w:rPr>
              <w:t>家居</w:t>
            </w:r>
            <w:r>
              <w:rPr>
                <w:rFonts w:hint="default"/>
                <w:b w:val="0"/>
                <w:bCs/>
                <w:highlight w:val="none"/>
                <w:lang w:val="en-US"/>
              </w:rPr>
              <w:t>企业，服务面向东北区域</w:t>
            </w:r>
          </w:p>
        </w:tc>
      </w:tr>
      <w:tr w14:paraId="396E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4" w:type="dxa"/>
            <w:vMerge w:val="continue"/>
            <w:vAlign w:val="center"/>
          </w:tcPr>
          <w:p w14:paraId="2C3D4407">
            <w:pPr>
              <w:pStyle w:val="25"/>
              <w:bidi w:val="0"/>
              <w:rPr>
                <w:rFonts w:hint="default"/>
                <w:b w:val="0"/>
                <w:bCs/>
                <w:highlight w:val="none"/>
                <w:lang w:val="en-US"/>
              </w:rPr>
            </w:pPr>
          </w:p>
        </w:tc>
        <w:tc>
          <w:tcPr>
            <w:tcW w:w="1800" w:type="dxa"/>
            <w:vAlign w:val="center"/>
          </w:tcPr>
          <w:p w14:paraId="32B71C4F">
            <w:pPr>
              <w:pStyle w:val="25"/>
              <w:bidi w:val="0"/>
              <w:rPr>
                <w:rFonts w:hint="default"/>
                <w:b w:val="0"/>
                <w:bCs/>
                <w:highlight w:val="none"/>
                <w:lang w:val="en-US"/>
              </w:rPr>
            </w:pPr>
            <w:r>
              <w:rPr>
                <w:rFonts w:hint="default"/>
                <w:b w:val="0"/>
                <w:bCs/>
                <w:highlight w:val="none"/>
                <w:lang w:val="en-US"/>
              </w:rPr>
              <w:t>供应链</w:t>
            </w:r>
          </w:p>
        </w:tc>
        <w:tc>
          <w:tcPr>
            <w:tcW w:w="4678" w:type="dxa"/>
            <w:vAlign w:val="center"/>
          </w:tcPr>
          <w:p w14:paraId="5A9041CE">
            <w:pPr>
              <w:pStyle w:val="25"/>
              <w:bidi w:val="0"/>
              <w:rPr>
                <w:rFonts w:hint="default"/>
                <w:b w:val="0"/>
                <w:bCs/>
                <w:highlight w:val="none"/>
                <w:lang w:val="en-US"/>
              </w:rPr>
            </w:pPr>
            <w:r>
              <w:rPr>
                <w:rFonts w:hint="default"/>
                <w:b w:val="0"/>
                <w:bCs/>
                <w:highlight w:val="none"/>
                <w:lang w:val="en-US"/>
              </w:rPr>
              <w:t>对接</w:t>
            </w:r>
            <w:r>
              <w:rPr>
                <w:rFonts w:hint="eastAsia"/>
                <w:b w:val="0"/>
                <w:bCs/>
                <w:highlight w:val="none"/>
                <w:lang w:val="en-US" w:eastAsia="zh-CN"/>
              </w:rPr>
              <w:t>家居</w:t>
            </w:r>
            <w:r>
              <w:rPr>
                <w:rFonts w:hint="default"/>
                <w:b w:val="0"/>
                <w:bCs/>
                <w:highlight w:val="none"/>
                <w:lang w:val="en-US"/>
              </w:rPr>
              <w:t>上下游企业，打造全套供应链、智能仓储</w:t>
            </w:r>
          </w:p>
        </w:tc>
      </w:tr>
    </w:tbl>
    <w:p w14:paraId="5DAD1BDE">
      <w:pPr>
        <w:pStyle w:val="24"/>
        <w:bidi w:val="0"/>
        <w:rPr>
          <w:highlight w:val="none"/>
        </w:rPr>
      </w:pPr>
      <w:r>
        <w:drawing>
          <wp:inline distT="0" distB="0" distL="114300" distR="114300">
            <wp:extent cx="5274310" cy="6071235"/>
            <wp:effectExtent l="0" t="0" r="8890" b="12065"/>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37"/>
                    <a:stretch>
                      <a:fillRect/>
                    </a:stretch>
                  </pic:blipFill>
                  <pic:spPr>
                    <a:xfrm>
                      <a:off x="0" y="0"/>
                      <a:ext cx="5274310" cy="6071235"/>
                    </a:xfrm>
                    <a:prstGeom prst="rect">
                      <a:avLst/>
                    </a:prstGeom>
                    <a:noFill/>
                    <a:ln>
                      <a:noFill/>
                    </a:ln>
                  </pic:spPr>
                </pic:pic>
              </a:graphicData>
            </a:graphic>
          </wp:inline>
        </w:drawing>
      </w:r>
    </w:p>
    <w:p w14:paraId="1237D4FE">
      <w:pPr>
        <w:pStyle w:val="11"/>
        <w:bidi w:val="0"/>
        <w:rPr>
          <w:rFonts w:hint="default"/>
          <w:highlight w:val="none"/>
          <w:lang w:val="en-US" w:eastAsia="zh-CN"/>
        </w:rPr>
      </w:pPr>
      <w:bookmarkStart w:id="123" w:name="_Toc472"/>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4</w:t>
      </w:r>
      <w:r>
        <w:fldChar w:fldCharType="end"/>
      </w:r>
      <w:r>
        <w:rPr>
          <w:rFonts w:hint="eastAsia"/>
          <w:lang w:val="en-US" w:eastAsia="zh-CN"/>
        </w:rPr>
        <w:t xml:space="preserve"> </w:t>
      </w:r>
      <w:r>
        <w:rPr>
          <w:rFonts w:hint="eastAsia"/>
          <w:highlight w:val="none"/>
          <w:lang w:eastAsia="zh-CN"/>
        </w:rPr>
        <w:t>北方家居建材物流中心</w:t>
      </w:r>
      <w:r>
        <w:rPr>
          <w:rFonts w:hint="eastAsia"/>
          <w:highlight w:val="none"/>
          <w:lang w:val="en-US" w:eastAsia="zh-CN"/>
        </w:rPr>
        <w:t>点位图</w:t>
      </w:r>
      <w:bookmarkEnd w:id="123"/>
    </w:p>
    <w:p w14:paraId="7764AB2A">
      <w:pPr>
        <w:pStyle w:val="3"/>
        <w:bidi w:val="0"/>
        <w:rPr>
          <w:rFonts w:hint="default"/>
          <w:highlight w:val="none"/>
          <w:lang w:val="en-US" w:eastAsia="zh-CN"/>
        </w:rPr>
      </w:pPr>
      <w:bookmarkStart w:id="124" w:name="_Toc29503"/>
      <w:bookmarkStart w:id="125" w:name="_Toc28783"/>
      <w:bookmarkStart w:id="126" w:name="_Toc832"/>
      <w:r>
        <w:rPr>
          <w:rFonts w:hint="eastAsia"/>
          <w:highlight w:val="none"/>
          <w:lang w:val="en-US" w:eastAsia="zh-CN"/>
        </w:rPr>
        <w:t>近期实施计划</w:t>
      </w:r>
      <w:bookmarkEnd w:id="124"/>
      <w:bookmarkEnd w:id="125"/>
      <w:bookmarkEnd w:id="126"/>
    </w:p>
    <w:p w14:paraId="6436A58F">
      <w:pPr>
        <w:pStyle w:val="4"/>
        <w:bidi w:val="0"/>
        <w:rPr>
          <w:highlight w:val="none"/>
        </w:rPr>
      </w:pPr>
      <w:r>
        <w:rPr>
          <w:rFonts w:hint="eastAsia"/>
          <w:highlight w:val="none"/>
          <w:lang w:val="en-US" w:eastAsia="zh-CN"/>
        </w:rPr>
        <w:t>中心城区综合服务物流中心建设计划</w:t>
      </w:r>
    </w:p>
    <w:p w14:paraId="72C96FE4">
      <w:pPr>
        <w:rPr>
          <w:rFonts w:hint="eastAsia"/>
          <w:highlight w:val="none"/>
          <w:lang w:val="en-US" w:eastAsia="zh-CN"/>
        </w:rPr>
      </w:pPr>
      <w:r>
        <w:rPr>
          <w:rFonts w:hint="eastAsia"/>
          <w:highlight w:val="none"/>
          <w:lang w:val="en-US" w:eastAsia="zh-CN"/>
        </w:rPr>
        <w:t>近期对中心城区综合服务物流中心进行建设，分三步走策略。</w:t>
      </w:r>
    </w:p>
    <w:p w14:paraId="6751A515">
      <w:pPr>
        <w:bidi w:val="0"/>
        <w:rPr>
          <w:rFonts w:hint="eastAsia"/>
          <w:lang w:val="en-US" w:eastAsia="zh-CN"/>
        </w:rPr>
      </w:pPr>
      <w:bookmarkStart w:id="127" w:name="_Toc17489"/>
      <w:r>
        <w:rPr>
          <w:rFonts w:hint="eastAsia"/>
          <w:lang w:val="en-US" w:eastAsia="zh-CN"/>
        </w:rPr>
        <w:t>1、一期建设</w:t>
      </w:r>
      <w:bookmarkEnd w:id="127"/>
    </w:p>
    <w:p w14:paraId="1D9EFF4E">
      <w:pPr>
        <w:bidi w:val="0"/>
        <w:rPr>
          <w:rFonts w:hint="eastAsia"/>
          <w:highlight w:val="none"/>
          <w:lang w:val="en-US" w:eastAsia="zh-CN"/>
        </w:rPr>
      </w:pPr>
      <w:r>
        <w:rPr>
          <w:rFonts w:hint="default"/>
          <w:highlight w:val="none"/>
          <w:lang w:val="en-US" w:eastAsia="zh-CN"/>
        </w:rPr>
        <w:t>优先建设场区中部</w:t>
      </w:r>
      <w:r>
        <w:rPr>
          <w:rFonts w:hint="eastAsia"/>
          <w:highlight w:val="none"/>
          <w:lang w:val="en-US" w:eastAsia="zh-CN"/>
        </w:rPr>
        <w:t>，对原有建筑物03、06、07、08进行拆迁，拆迁面积1791平方米，建设停车设施一处，充电设施一处，卫生间及附属配电间一处，建设道路硬化场地15482平方米，预计投资1530万元。</w:t>
      </w:r>
    </w:p>
    <w:p w14:paraId="2831DD89">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5</w:t>
      </w:r>
      <w:r>
        <w:fldChar w:fldCharType="end"/>
      </w:r>
      <w:r>
        <w:rPr>
          <w:rFonts w:hint="eastAsia"/>
          <w:lang w:val="en-US" w:eastAsia="zh-CN"/>
        </w:rPr>
        <w:t xml:space="preserve"> </w:t>
      </w:r>
      <w:r>
        <w:rPr>
          <w:rFonts w:hint="eastAsia"/>
          <w:highlight w:val="none"/>
          <w:lang w:val="en-US" w:eastAsia="zh-CN"/>
        </w:rPr>
        <w:t>一期建设内容表</w:t>
      </w:r>
    </w:p>
    <w:tbl>
      <w:tblPr>
        <w:tblStyle w:val="20"/>
        <w:tblW w:w="4998"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656"/>
        <w:gridCol w:w="1933"/>
        <w:gridCol w:w="1656"/>
        <w:gridCol w:w="1380"/>
        <w:gridCol w:w="1718"/>
      </w:tblGrid>
      <w:tr w14:paraId="75C5E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992" w:type="pct"/>
            <w:tcBorders>
              <w:top w:val="single" w:color="339669" w:sz="24" w:space="0"/>
            </w:tcBorders>
            <w:shd w:val="clear" w:color="auto" w:fill="339669"/>
            <w:tcMar>
              <w:top w:w="20" w:type="dxa"/>
              <w:left w:w="20" w:type="dxa"/>
              <w:bottom w:w="72" w:type="dxa"/>
              <w:right w:w="20" w:type="dxa"/>
            </w:tcMar>
            <w:vAlign w:val="center"/>
          </w:tcPr>
          <w:p w14:paraId="29272C3C">
            <w:pPr>
              <w:pStyle w:val="25"/>
              <w:bidi w:val="0"/>
              <w:rPr>
                <w:highlight w:val="none"/>
              </w:rPr>
            </w:pPr>
            <w:r>
              <w:rPr>
                <w:highlight w:val="none"/>
              </w:rPr>
              <w:t>编号</w:t>
            </w:r>
          </w:p>
        </w:tc>
        <w:tc>
          <w:tcPr>
            <w:tcW w:w="1158" w:type="pct"/>
            <w:tcBorders>
              <w:top w:val="single" w:color="339669" w:sz="24" w:space="0"/>
            </w:tcBorders>
            <w:shd w:val="clear" w:color="auto" w:fill="339669"/>
            <w:tcMar>
              <w:top w:w="20" w:type="dxa"/>
              <w:left w:w="20" w:type="dxa"/>
              <w:bottom w:w="72" w:type="dxa"/>
              <w:right w:w="20" w:type="dxa"/>
            </w:tcMar>
            <w:vAlign w:val="center"/>
          </w:tcPr>
          <w:p w14:paraId="14416780">
            <w:pPr>
              <w:pStyle w:val="25"/>
              <w:bidi w:val="0"/>
              <w:rPr>
                <w:highlight w:val="none"/>
              </w:rPr>
            </w:pPr>
            <w:r>
              <w:rPr>
                <w:rFonts w:hint="eastAsia"/>
                <w:highlight w:val="none"/>
              </w:rPr>
              <w:t>名称</w:t>
            </w:r>
          </w:p>
        </w:tc>
        <w:tc>
          <w:tcPr>
            <w:tcW w:w="992" w:type="pct"/>
            <w:tcBorders>
              <w:top w:val="single" w:color="339669" w:sz="24" w:space="0"/>
            </w:tcBorders>
            <w:shd w:val="clear" w:color="auto" w:fill="339669"/>
            <w:tcMar>
              <w:top w:w="20" w:type="dxa"/>
              <w:left w:w="20" w:type="dxa"/>
              <w:bottom w:w="72" w:type="dxa"/>
              <w:right w:w="20" w:type="dxa"/>
            </w:tcMar>
            <w:vAlign w:val="center"/>
          </w:tcPr>
          <w:p w14:paraId="6062E0C3">
            <w:pPr>
              <w:pStyle w:val="25"/>
              <w:bidi w:val="0"/>
              <w:rPr>
                <w:highlight w:val="none"/>
              </w:rPr>
            </w:pPr>
            <w:r>
              <w:rPr>
                <w:rFonts w:hint="eastAsia"/>
                <w:highlight w:val="none"/>
              </w:rPr>
              <w:t>面积（㎡）</w:t>
            </w:r>
          </w:p>
        </w:tc>
        <w:tc>
          <w:tcPr>
            <w:tcW w:w="827" w:type="pct"/>
            <w:tcBorders>
              <w:top w:val="single" w:color="339669" w:sz="24" w:space="0"/>
            </w:tcBorders>
            <w:shd w:val="clear" w:color="auto" w:fill="339669"/>
            <w:tcMar>
              <w:top w:w="20" w:type="dxa"/>
              <w:left w:w="20" w:type="dxa"/>
              <w:bottom w:w="72" w:type="dxa"/>
              <w:right w:w="20" w:type="dxa"/>
            </w:tcMar>
            <w:vAlign w:val="center"/>
          </w:tcPr>
          <w:p w14:paraId="72855E3D">
            <w:pPr>
              <w:pStyle w:val="25"/>
              <w:bidi w:val="0"/>
              <w:rPr>
                <w:highlight w:val="none"/>
              </w:rPr>
            </w:pPr>
            <w:r>
              <w:rPr>
                <w:rFonts w:hint="eastAsia"/>
                <w:highlight w:val="none"/>
              </w:rPr>
              <w:t>单价</w:t>
            </w:r>
          </w:p>
        </w:tc>
        <w:tc>
          <w:tcPr>
            <w:tcW w:w="1029" w:type="pct"/>
            <w:tcBorders>
              <w:top w:val="single" w:color="339669" w:sz="24" w:space="0"/>
            </w:tcBorders>
            <w:shd w:val="clear" w:color="auto" w:fill="339669"/>
            <w:tcMar>
              <w:top w:w="20" w:type="dxa"/>
              <w:left w:w="20" w:type="dxa"/>
              <w:bottom w:w="72" w:type="dxa"/>
              <w:right w:w="20" w:type="dxa"/>
            </w:tcMar>
            <w:vAlign w:val="center"/>
          </w:tcPr>
          <w:p w14:paraId="5D718283">
            <w:pPr>
              <w:pStyle w:val="25"/>
              <w:bidi w:val="0"/>
              <w:rPr>
                <w:highlight w:val="none"/>
              </w:rPr>
            </w:pPr>
            <w:r>
              <w:rPr>
                <w:highlight w:val="none"/>
              </w:rPr>
              <w:t>造价</w:t>
            </w:r>
            <w:r>
              <w:rPr>
                <w:rFonts w:hint="eastAsia"/>
                <w:highlight w:val="none"/>
                <w:lang w:eastAsia="zh-CN"/>
              </w:rPr>
              <w:t>（</w:t>
            </w:r>
            <w:r>
              <w:rPr>
                <w:rFonts w:hint="eastAsia"/>
                <w:highlight w:val="none"/>
              </w:rPr>
              <w:t>万元)</w:t>
            </w:r>
          </w:p>
        </w:tc>
      </w:tr>
      <w:tr w14:paraId="45A86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2B838929">
            <w:pPr>
              <w:pStyle w:val="25"/>
              <w:bidi w:val="0"/>
              <w:rPr>
                <w:highlight w:val="none"/>
              </w:rPr>
            </w:pPr>
            <w:r>
              <w:rPr>
                <w:highlight w:val="none"/>
              </w:rPr>
              <w:t>1</w:t>
            </w:r>
          </w:p>
        </w:tc>
        <w:tc>
          <w:tcPr>
            <w:tcW w:w="1933" w:type="dxa"/>
            <w:tcBorders>
              <w:top w:val="single" w:color="339669" w:sz="24" w:space="0"/>
            </w:tcBorders>
            <w:shd w:val="clear" w:color="auto" w:fill="E0F7EF"/>
            <w:tcMar>
              <w:top w:w="20" w:type="dxa"/>
              <w:left w:w="20" w:type="dxa"/>
              <w:bottom w:w="72" w:type="dxa"/>
              <w:right w:w="20" w:type="dxa"/>
            </w:tcMar>
            <w:vAlign w:val="center"/>
          </w:tcPr>
          <w:p w14:paraId="243BC032">
            <w:pPr>
              <w:pStyle w:val="25"/>
              <w:bidi w:val="0"/>
              <w:rPr>
                <w:highlight w:val="none"/>
              </w:rPr>
            </w:pPr>
            <w:r>
              <w:rPr>
                <w:rFonts w:hint="eastAsia"/>
                <w:highlight w:val="none"/>
              </w:rPr>
              <w:t>卫生间</w:t>
            </w:r>
          </w:p>
        </w:tc>
        <w:tc>
          <w:tcPr>
            <w:tcW w:w="1656" w:type="dxa"/>
            <w:tcBorders>
              <w:top w:val="single" w:color="339669" w:sz="24" w:space="0"/>
            </w:tcBorders>
            <w:shd w:val="clear" w:color="auto" w:fill="E0F7EF"/>
            <w:tcMar>
              <w:top w:w="20" w:type="dxa"/>
              <w:left w:w="20" w:type="dxa"/>
              <w:bottom w:w="72" w:type="dxa"/>
              <w:right w:w="20" w:type="dxa"/>
            </w:tcMar>
            <w:vAlign w:val="center"/>
          </w:tcPr>
          <w:p w14:paraId="543CE321">
            <w:pPr>
              <w:pStyle w:val="25"/>
              <w:bidi w:val="0"/>
              <w:rPr>
                <w:highlight w:val="none"/>
              </w:rPr>
            </w:pPr>
            <w:r>
              <w:rPr>
                <w:rFonts w:hint="eastAsia"/>
                <w:highlight w:val="none"/>
              </w:rPr>
              <w:t>400</w:t>
            </w:r>
          </w:p>
        </w:tc>
        <w:tc>
          <w:tcPr>
            <w:tcW w:w="1380" w:type="dxa"/>
            <w:tcBorders>
              <w:top w:val="single" w:color="339669" w:sz="24" w:space="0"/>
            </w:tcBorders>
            <w:shd w:val="clear" w:color="auto" w:fill="E0F7EF"/>
            <w:tcMar>
              <w:top w:w="20" w:type="dxa"/>
              <w:left w:w="20" w:type="dxa"/>
              <w:bottom w:w="72" w:type="dxa"/>
              <w:right w:w="20" w:type="dxa"/>
            </w:tcMar>
            <w:vAlign w:val="center"/>
          </w:tcPr>
          <w:p w14:paraId="3746FF7C">
            <w:pPr>
              <w:pStyle w:val="25"/>
              <w:bidi w:val="0"/>
              <w:rPr>
                <w:highlight w:val="none"/>
              </w:rPr>
            </w:pPr>
            <w:r>
              <w:rPr>
                <w:rFonts w:hint="eastAsia"/>
                <w:highlight w:val="none"/>
              </w:rPr>
              <w:t>1500</w:t>
            </w:r>
          </w:p>
        </w:tc>
        <w:tc>
          <w:tcPr>
            <w:tcW w:w="1718" w:type="dxa"/>
            <w:tcBorders>
              <w:top w:val="single" w:color="339669" w:sz="24" w:space="0"/>
            </w:tcBorders>
            <w:shd w:val="clear" w:color="auto" w:fill="E0F7EF"/>
            <w:tcMar>
              <w:top w:w="20" w:type="dxa"/>
              <w:left w:w="20" w:type="dxa"/>
              <w:bottom w:w="72" w:type="dxa"/>
              <w:right w:w="20" w:type="dxa"/>
            </w:tcMar>
            <w:vAlign w:val="center"/>
          </w:tcPr>
          <w:p w14:paraId="5B31B6A6">
            <w:pPr>
              <w:pStyle w:val="25"/>
              <w:bidi w:val="0"/>
              <w:rPr>
                <w:highlight w:val="none"/>
              </w:rPr>
            </w:pPr>
            <w:r>
              <w:rPr>
                <w:rFonts w:hint="eastAsia"/>
                <w:highlight w:val="none"/>
              </w:rPr>
              <w:t>60</w:t>
            </w:r>
          </w:p>
        </w:tc>
      </w:tr>
      <w:tr w14:paraId="5BFB0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FFFFFF"/>
            <w:tcMar>
              <w:top w:w="20" w:type="dxa"/>
              <w:left w:w="20" w:type="dxa"/>
              <w:bottom w:w="72" w:type="dxa"/>
              <w:right w:w="20" w:type="dxa"/>
            </w:tcMar>
            <w:vAlign w:val="center"/>
          </w:tcPr>
          <w:p w14:paraId="0E28908F">
            <w:pPr>
              <w:pStyle w:val="25"/>
              <w:bidi w:val="0"/>
              <w:rPr>
                <w:highlight w:val="none"/>
              </w:rPr>
            </w:pPr>
            <w:r>
              <w:rPr>
                <w:rFonts w:hint="eastAsia"/>
                <w:highlight w:val="none"/>
              </w:rPr>
              <w:t>2</w:t>
            </w:r>
          </w:p>
        </w:tc>
        <w:tc>
          <w:tcPr>
            <w:tcW w:w="1933" w:type="dxa"/>
            <w:tcBorders>
              <w:top w:val="single" w:color="339669" w:sz="24" w:space="0"/>
            </w:tcBorders>
            <w:shd w:val="clear" w:color="auto" w:fill="FFFFFF"/>
            <w:tcMar>
              <w:top w:w="20" w:type="dxa"/>
              <w:left w:w="20" w:type="dxa"/>
              <w:bottom w:w="72" w:type="dxa"/>
              <w:right w:w="20" w:type="dxa"/>
            </w:tcMar>
            <w:vAlign w:val="center"/>
          </w:tcPr>
          <w:p w14:paraId="46E01D86">
            <w:pPr>
              <w:pStyle w:val="25"/>
              <w:bidi w:val="0"/>
              <w:rPr>
                <w:highlight w:val="none"/>
              </w:rPr>
            </w:pPr>
            <w:r>
              <w:rPr>
                <w:rFonts w:hint="eastAsia"/>
                <w:highlight w:val="none"/>
              </w:rPr>
              <w:t>垃圾转运</w:t>
            </w:r>
          </w:p>
        </w:tc>
        <w:tc>
          <w:tcPr>
            <w:tcW w:w="1656" w:type="dxa"/>
            <w:tcBorders>
              <w:top w:val="single" w:color="339669" w:sz="24" w:space="0"/>
            </w:tcBorders>
            <w:shd w:val="clear" w:color="auto" w:fill="FFFFFF"/>
            <w:tcMar>
              <w:top w:w="20" w:type="dxa"/>
              <w:left w:w="20" w:type="dxa"/>
              <w:bottom w:w="72" w:type="dxa"/>
              <w:right w:w="20" w:type="dxa"/>
            </w:tcMar>
            <w:vAlign w:val="center"/>
          </w:tcPr>
          <w:p w14:paraId="6283C313">
            <w:pPr>
              <w:pStyle w:val="25"/>
              <w:bidi w:val="0"/>
              <w:rPr>
                <w:highlight w:val="none"/>
              </w:rPr>
            </w:pPr>
            <w:r>
              <w:rPr>
                <w:rFonts w:hint="eastAsia"/>
                <w:highlight w:val="none"/>
              </w:rPr>
              <w:t>225</w:t>
            </w:r>
          </w:p>
        </w:tc>
        <w:tc>
          <w:tcPr>
            <w:tcW w:w="1380" w:type="dxa"/>
            <w:tcBorders>
              <w:top w:val="single" w:color="339669" w:sz="24" w:space="0"/>
            </w:tcBorders>
            <w:shd w:val="clear" w:color="auto" w:fill="FFFFFF"/>
            <w:tcMar>
              <w:top w:w="20" w:type="dxa"/>
              <w:left w:w="20" w:type="dxa"/>
              <w:bottom w:w="72" w:type="dxa"/>
              <w:right w:w="20" w:type="dxa"/>
            </w:tcMar>
            <w:vAlign w:val="center"/>
          </w:tcPr>
          <w:p w14:paraId="10150271">
            <w:pPr>
              <w:pStyle w:val="25"/>
              <w:bidi w:val="0"/>
              <w:rPr>
                <w:highlight w:val="none"/>
              </w:rPr>
            </w:pPr>
            <w:r>
              <w:rPr>
                <w:rFonts w:hint="eastAsia"/>
                <w:highlight w:val="none"/>
              </w:rPr>
              <w:t>3000</w:t>
            </w:r>
          </w:p>
        </w:tc>
        <w:tc>
          <w:tcPr>
            <w:tcW w:w="1718" w:type="dxa"/>
            <w:tcBorders>
              <w:top w:val="single" w:color="339669" w:sz="24" w:space="0"/>
            </w:tcBorders>
            <w:shd w:val="clear" w:color="auto" w:fill="FFFFFF"/>
            <w:tcMar>
              <w:top w:w="20" w:type="dxa"/>
              <w:left w:w="20" w:type="dxa"/>
              <w:bottom w:w="72" w:type="dxa"/>
              <w:right w:w="20" w:type="dxa"/>
            </w:tcMar>
            <w:vAlign w:val="center"/>
          </w:tcPr>
          <w:p w14:paraId="39D2B9B0">
            <w:pPr>
              <w:pStyle w:val="25"/>
              <w:bidi w:val="0"/>
              <w:rPr>
                <w:highlight w:val="none"/>
              </w:rPr>
            </w:pPr>
            <w:r>
              <w:rPr>
                <w:rFonts w:hint="eastAsia"/>
                <w:highlight w:val="none"/>
              </w:rPr>
              <w:t>67.5</w:t>
            </w:r>
          </w:p>
        </w:tc>
      </w:tr>
      <w:tr w14:paraId="2C3F7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29ED30D6">
            <w:pPr>
              <w:pStyle w:val="25"/>
              <w:bidi w:val="0"/>
              <w:rPr>
                <w:highlight w:val="none"/>
              </w:rPr>
            </w:pPr>
            <w:r>
              <w:rPr>
                <w:rFonts w:hint="eastAsia"/>
                <w:highlight w:val="none"/>
              </w:rPr>
              <w:t>3</w:t>
            </w:r>
          </w:p>
        </w:tc>
        <w:tc>
          <w:tcPr>
            <w:tcW w:w="1933" w:type="dxa"/>
            <w:tcBorders>
              <w:top w:val="single" w:color="339669" w:sz="24" w:space="0"/>
            </w:tcBorders>
            <w:shd w:val="clear" w:color="auto" w:fill="E0F7EF"/>
            <w:tcMar>
              <w:top w:w="20" w:type="dxa"/>
              <w:left w:w="20" w:type="dxa"/>
              <w:bottom w:w="72" w:type="dxa"/>
              <w:right w:w="20" w:type="dxa"/>
            </w:tcMar>
            <w:vAlign w:val="center"/>
          </w:tcPr>
          <w:p w14:paraId="708CFD3E">
            <w:pPr>
              <w:pStyle w:val="25"/>
              <w:bidi w:val="0"/>
              <w:rPr>
                <w:highlight w:val="none"/>
              </w:rPr>
            </w:pPr>
            <w:r>
              <w:rPr>
                <w:rFonts w:hint="eastAsia"/>
                <w:highlight w:val="none"/>
              </w:rPr>
              <w:t>库房、变电</w:t>
            </w:r>
          </w:p>
        </w:tc>
        <w:tc>
          <w:tcPr>
            <w:tcW w:w="1656" w:type="dxa"/>
            <w:tcBorders>
              <w:top w:val="single" w:color="339669" w:sz="24" w:space="0"/>
            </w:tcBorders>
            <w:shd w:val="clear" w:color="auto" w:fill="E0F7EF"/>
            <w:tcMar>
              <w:top w:w="20" w:type="dxa"/>
              <w:left w:w="20" w:type="dxa"/>
              <w:bottom w:w="72" w:type="dxa"/>
              <w:right w:w="20" w:type="dxa"/>
            </w:tcMar>
            <w:vAlign w:val="center"/>
          </w:tcPr>
          <w:p w14:paraId="5E47CDA3">
            <w:pPr>
              <w:pStyle w:val="25"/>
              <w:bidi w:val="0"/>
              <w:rPr>
                <w:highlight w:val="none"/>
              </w:rPr>
            </w:pPr>
            <w:r>
              <w:rPr>
                <w:rFonts w:hint="eastAsia"/>
                <w:highlight w:val="none"/>
              </w:rPr>
              <w:t>350</w:t>
            </w:r>
          </w:p>
        </w:tc>
        <w:tc>
          <w:tcPr>
            <w:tcW w:w="1380" w:type="dxa"/>
            <w:tcBorders>
              <w:top w:val="single" w:color="339669" w:sz="24" w:space="0"/>
            </w:tcBorders>
            <w:shd w:val="clear" w:color="auto" w:fill="E0F7EF"/>
            <w:tcMar>
              <w:top w:w="20" w:type="dxa"/>
              <w:left w:w="20" w:type="dxa"/>
              <w:bottom w:w="72" w:type="dxa"/>
              <w:right w:w="20" w:type="dxa"/>
            </w:tcMar>
            <w:vAlign w:val="center"/>
          </w:tcPr>
          <w:p w14:paraId="4384AF3A">
            <w:pPr>
              <w:pStyle w:val="25"/>
              <w:bidi w:val="0"/>
              <w:rPr>
                <w:highlight w:val="none"/>
              </w:rPr>
            </w:pPr>
            <w:r>
              <w:rPr>
                <w:rFonts w:hint="eastAsia"/>
                <w:highlight w:val="none"/>
              </w:rPr>
              <w:t>4000</w:t>
            </w:r>
          </w:p>
        </w:tc>
        <w:tc>
          <w:tcPr>
            <w:tcW w:w="1718" w:type="dxa"/>
            <w:tcBorders>
              <w:top w:val="single" w:color="339669" w:sz="24" w:space="0"/>
            </w:tcBorders>
            <w:shd w:val="clear" w:color="auto" w:fill="E0F7EF"/>
            <w:tcMar>
              <w:top w:w="20" w:type="dxa"/>
              <w:left w:w="20" w:type="dxa"/>
              <w:bottom w:w="72" w:type="dxa"/>
              <w:right w:w="20" w:type="dxa"/>
            </w:tcMar>
            <w:vAlign w:val="center"/>
          </w:tcPr>
          <w:p w14:paraId="5B6EC14B">
            <w:pPr>
              <w:pStyle w:val="25"/>
              <w:bidi w:val="0"/>
              <w:rPr>
                <w:highlight w:val="none"/>
              </w:rPr>
            </w:pPr>
            <w:r>
              <w:rPr>
                <w:rFonts w:hint="eastAsia"/>
                <w:highlight w:val="none"/>
              </w:rPr>
              <w:t>140</w:t>
            </w:r>
          </w:p>
        </w:tc>
      </w:tr>
      <w:tr w14:paraId="2DF6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FFFFFF"/>
            <w:tcMar>
              <w:top w:w="20" w:type="dxa"/>
              <w:left w:w="20" w:type="dxa"/>
              <w:bottom w:w="72" w:type="dxa"/>
              <w:right w:w="20" w:type="dxa"/>
            </w:tcMar>
            <w:vAlign w:val="center"/>
          </w:tcPr>
          <w:p w14:paraId="154D3B73">
            <w:pPr>
              <w:pStyle w:val="25"/>
              <w:bidi w:val="0"/>
              <w:rPr>
                <w:highlight w:val="none"/>
              </w:rPr>
            </w:pPr>
            <w:r>
              <w:rPr>
                <w:rFonts w:hint="eastAsia"/>
                <w:highlight w:val="none"/>
              </w:rPr>
              <w:t>4</w:t>
            </w:r>
          </w:p>
        </w:tc>
        <w:tc>
          <w:tcPr>
            <w:tcW w:w="1933" w:type="dxa"/>
            <w:tcBorders>
              <w:top w:val="single" w:color="339669" w:sz="24" w:space="0"/>
            </w:tcBorders>
            <w:shd w:val="clear" w:color="auto" w:fill="FFFFFF"/>
            <w:tcMar>
              <w:top w:w="20" w:type="dxa"/>
              <w:left w:w="20" w:type="dxa"/>
              <w:bottom w:w="72" w:type="dxa"/>
              <w:right w:w="20" w:type="dxa"/>
            </w:tcMar>
            <w:vAlign w:val="center"/>
          </w:tcPr>
          <w:p w14:paraId="4DE393F9">
            <w:pPr>
              <w:pStyle w:val="25"/>
              <w:bidi w:val="0"/>
              <w:rPr>
                <w:highlight w:val="none"/>
              </w:rPr>
            </w:pPr>
            <w:r>
              <w:rPr>
                <w:rFonts w:hint="eastAsia"/>
                <w:highlight w:val="none"/>
              </w:rPr>
              <w:t>充电桩</w:t>
            </w:r>
          </w:p>
        </w:tc>
        <w:tc>
          <w:tcPr>
            <w:tcW w:w="1656" w:type="dxa"/>
            <w:tcBorders>
              <w:top w:val="single" w:color="339669" w:sz="24" w:space="0"/>
            </w:tcBorders>
            <w:shd w:val="clear" w:color="auto" w:fill="FFFFFF"/>
            <w:tcMar>
              <w:top w:w="20" w:type="dxa"/>
              <w:left w:w="20" w:type="dxa"/>
              <w:bottom w:w="72" w:type="dxa"/>
              <w:right w:w="20" w:type="dxa"/>
            </w:tcMar>
            <w:vAlign w:val="center"/>
          </w:tcPr>
          <w:p w14:paraId="473AD31E">
            <w:pPr>
              <w:pStyle w:val="25"/>
              <w:bidi w:val="0"/>
              <w:rPr>
                <w:highlight w:val="none"/>
              </w:rPr>
            </w:pPr>
            <w:r>
              <w:rPr>
                <w:rFonts w:hint="eastAsia"/>
                <w:highlight w:val="none"/>
              </w:rPr>
              <w:t>24个</w:t>
            </w:r>
          </w:p>
        </w:tc>
        <w:tc>
          <w:tcPr>
            <w:tcW w:w="1380" w:type="dxa"/>
            <w:tcBorders>
              <w:top w:val="single" w:color="339669" w:sz="24" w:space="0"/>
            </w:tcBorders>
            <w:shd w:val="clear" w:color="auto" w:fill="FFFFFF"/>
            <w:tcMar>
              <w:top w:w="20" w:type="dxa"/>
              <w:left w:w="20" w:type="dxa"/>
              <w:bottom w:w="72" w:type="dxa"/>
              <w:right w:w="20" w:type="dxa"/>
            </w:tcMar>
            <w:vAlign w:val="center"/>
          </w:tcPr>
          <w:p w14:paraId="2225B9C3">
            <w:pPr>
              <w:pStyle w:val="25"/>
              <w:bidi w:val="0"/>
              <w:rPr>
                <w:highlight w:val="none"/>
              </w:rPr>
            </w:pPr>
            <w:r>
              <w:rPr>
                <w:rFonts w:hint="eastAsia"/>
                <w:highlight w:val="none"/>
              </w:rPr>
              <w:t>30000</w:t>
            </w:r>
          </w:p>
        </w:tc>
        <w:tc>
          <w:tcPr>
            <w:tcW w:w="1718" w:type="dxa"/>
            <w:tcBorders>
              <w:top w:val="single" w:color="339669" w:sz="24" w:space="0"/>
            </w:tcBorders>
            <w:shd w:val="clear" w:color="auto" w:fill="FFFFFF"/>
            <w:tcMar>
              <w:top w:w="20" w:type="dxa"/>
              <w:left w:w="20" w:type="dxa"/>
              <w:bottom w:w="72" w:type="dxa"/>
              <w:right w:w="20" w:type="dxa"/>
            </w:tcMar>
            <w:vAlign w:val="center"/>
          </w:tcPr>
          <w:p w14:paraId="57BB3BB5">
            <w:pPr>
              <w:pStyle w:val="25"/>
              <w:bidi w:val="0"/>
              <w:rPr>
                <w:highlight w:val="none"/>
              </w:rPr>
            </w:pPr>
            <w:r>
              <w:rPr>
                <w:rFonts w:hint="eastAsia"/>
                <w:highlight w:val="none"/>
              </w:rPr>
              <w:t>72</w:t>
            </w:r>
          </w:p>
        </w:tc>
      </w:tr>
      <w:tr w14:paraId="2D6BF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03C8600F">
            <w:pPr>
              <w:pStyle w:val="25"/>
              <w:bidi w:val="0"/>
              <w:rPr>
                <w:highlight w:val="none"/>
              </w:rPr>
            </w:pPr>
            <w:r>
              <w:rPr>
                <w:rFonts w:hint="eastAsia"/>
                <w:highlight w:val="none"/>
              </w:rPr>
              <w:t>小计</w:t>
            </w:r>
          </w:p>
        </w:tc>
        <w:tc>
          <w:tcPr>
            <w:tcW w:w="4969" w:type="dxa"/>
            <w:gridSpan w:val="3"/>
            <w:tcBorders>
              <w:top w:val="single" w:color="339669" w:sz="24" w:space="0"/>
            </w:tcBorders>
            <w:shd w:val="clear" w:color="auto" w:fill="E0F7EF"/>
            <w:tcMar>
              <w:top w:w="20" w:type="dxa"/>
              <w:left w:w="20" w:type="dxa"/>
              <w:bottom w:w="72" w:type="dxa"/>
              <w:right w:w="20" w:type="dxa"/>
            </w:tcMar>
            <w:vAlign w:val="center"/>
          </w:tcPr>
          <w:p w14:paraId="50C0722B">
            <w:pPr>
              <w:pStyle w:val="25"/>
              <w:bidi w:val="0"/>
              <w:rPr>
                <w:highlight w:val="none"/>
              </w:rPr>
            </w:pPr>
            <w:r>
              <w:rPr>
                <w:rFonts w:hint="eastAsia"/>
                <w:highlight w:val="none"/>
              </w:rPr>
              <w:t>8475</w:t>
            </w:r>
          </w:p>
        </w:tc>
        <w:tc>
          <w:tcPr>
            <w:tcW w:w="1718" w:type="dxa"/>
            <w:tcBorders>
              <w:top w:val="single" w:color="339669" w:sz="24" w:space="0"/>
            </w:tcBorders>
            <w:shd w:val="clear" w:color="auto" w:fill="E0F7EF"/>
            <w:tcMar>
              <w:top w:w="20" w:type="dxa"/>
              <w:left w:w="20" w:type="dxa"/>
              <w:bottom w:w="72" w:type="dxa"/>
              <w:right w:w="20" w:type="dxa"/>
            </w:tcMar>
            <w:vAlign w:val="center"/>
          </w:tcPr>
          <w:p w14:paraId="0C66FA74">
            <w:pPr>
              <w:pStyle w:val="25"/>
              <w:bidi w:val="0"/>
              <w:rPr>
                <w:highlight w:val="none"/>
              </w:rPr>
            </w:pPr>
            <w:r>
              <w:rPr>
                <w:rFonts w:hint="eastAsia"/>
                <w:highlight w:val="none"/>
              </w:rPr>
              <w:t>339.5</w:t>
            </w:r>
          </w:p>
        </w:tc>
      </w:tr>
      <w:tr w14:paraId="11459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FFFFFF"/>
            <w:tcMar>
              <w:top w:w="20" w:type="dxa"/>
              <w:left w:w="20" w:type="dxa"/>
              <w:bottom w:w="72" w:type="dxa"/>
              <w:right w:w="20" w:type="dxa"/>
            </w:tcMar>
            <w:vAlign w:val="center"/>
          </w:tcPr>
          <w:p w14:paraId="64230E1F">
            <w:pPr>
              <w:pStyle w:val="25"/>
              <w:bidi w:val="0"/>
              <w:rPr>
                <w:highlight w:val="none"/>
              </w:rPr>
            </w:pPr>
            <w:r>
              <w:rPr>
                <w:rFonts w:hint="eastAsia"/>
                <w:highlight w:val="none"/>
              </w:rPr>
              <w:t>编号</w:t>
            </w:r>
          </w:p>
        </w:tc>
        <w:tc>
          <w:tcPr>
            <w:tcW w:w="1933" w:type="dxa"/>
            <w:tcBorders>
              <w:top w:val="single" w:color="339669" w:sz="24" w:space="0"/>
            </w:tcBorders>
            <w:shd w:val="clear" w:color="auto" w:fill="FFFFFF"/>
            <w:tcMar>
              <w:top w:w="20" w:type="dxa"/>
              <w:left w:w="20" w:type="dxa"/>
              <w:bottom w:w="72" w:type="dxa"/>
              <w:right w:w="20" w:type="dxa"/>
            </w:tcMar>
            <w:vAlign w:val="center"/>
          </w:tcPr>
          <w:p w14:paraId="77E421DC">
            <w:pPr>
              <w:pStyle w:val="25"/>
              <w:bidi w:val="0"/>
              <w:rPr>
                <w:highlight w:val="none"/>
              </w:rPr>
            </w:pPr>
          </w:p>
        </w:tc>
        <w:tc>
          <w:tcPr>
            <w:tcW w:w="1656" w:type="dxa"/>
            <w:tcBorders>
              <w:top w:val="single" w:color="339669" w:sz="24" w:space="0"/>
            </w:tcBorders>
            <w:shd w:val="clear" w:color="auto" w:fill="FFFFFF"/>
            <w:tcMar>
              <w:top w:w="20" w:type="dxa"/>
              <w:left w:w="20" w:type="dxa"/>
              <w:bottom w:w="72" w:type="dxa"/>
              <w:right w:w="20" w:type="dxa"/>
            </w:tcMar>
            <w:vAlign w:val="center"/>
          </w:tcPr>
          <w:p w14:paraId="0F27F40B">
            <w:pPr>
              <w:pStyle w:val="25"/>
              <w:bidi w:val="0"/>
              <w:rPr>
                <w:highlight w:val="none"/>
              </w:rPr>
            </w:pPr>
          </w:p>
        </w:tc>
        <w:tc>
          <w:tcPr>
            <w:tcW w:w="1380" w:type="dxa"/>
            <w:tcBorders>
              <w:top w:val="single" w:color="339669" w:sz="24" w:space="0"/>
            </w:tcBorders>
            <w:shd w:val="clear" w:color="auto" w:fill="FFFFFF"/>
            <w:tcMar>
              <w:top w:w="20" w:type="dxa"/>
              <w:left w:w="20" w:type="dxa"/>
              <w:bottom w:w="72" w:type="dxa"/>
              <w:right w:w="20" w:type="dxa"/>
            </w:tcMar>
            <w:vAlign w:val="center"/>
          </w:tcPr>
          <w:p w14:paraId="4018A49D">
            <w:pPr>
              <w:pStyle w:val="25"/>
              <w:bidi w:val="0"/>
              <w:rPr>
                <w:highlight w:val="none"/>
              </w:rPr>
            </w:pPr>
          </w:p>
        </w:tc>
        <w:tc>
          <w:tcPr>
            <w:tcW w:w="1718" w:type="dxa"/>
            <w:tcBorders>
              <w:top w:val="single" w:color="339669" w:sz="24" w:space="0"/>
            </w:tcBorders>
            <w:shd w:val="clear" w:color="auto" w:fill="FFFFFF"/>
            <w:tcMar>
              <w:top w:w="20" w:type="dxa"/>
              <w:left w:w="20" w:type="dxa"/>
              <w:bottom w:w="72" w:type="dxa"/>
              <w:right w:w="20" w:type="dxa"/>
            </w:tcMar>
            <w:vAlign w:val="center"/>
          </w:tcPr>
          <w:p w14:paraId="69D3FE6B">
            <w:pPr>
              <w:pStyle w:val="25"/>
              <w:bidi w:val="0"/>
              <w:rPr>
                <w:highlight w:val="none"/>
              </w:rPr>
            </w:pPr>
          </w:p>
        </w:tc>
      </w:tr>
      <w:tr w14:paraId="594E8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1AB166DF">
            <w:pPr>
              <w:pStyle w:val="25"/>
              <w:bidi w:val="0"/>
              <w:rPr>
                <w:rFonts w:hint="eastAsia"/>
                <w:highlight w:val="none"/>
                <w:lang w:eastAsia="zh-CN"/>
              </w:rPr>
            </w:pPr>
            <w:r>
              <w:rPr>
                <w:rFonts w:hint="eastAsia"/>
                <w:highlight w:val="none"/>
              </w:rPr>
              <w:t>5</w:t>
            </w:r>
          </w:p>
        </w:tc>
        <w:tc>
          <w:tcPr>
            <w:tcW w:w="1933" w:type="dxa"/>
            <w:tcBorders>
              <w:top w:val="single" w:color="339669" w:sz="24" w:space="0"/>
            </w:tcBorders>
            <w:shd w:val="clear" w:color="auto" w:fill="E0F7EF"/>
            <w:tcMar>
              <w:top w:w="20" w:type="dxa"/>
              <w:left w:w="20" w:type="dxa"/>
              <w:bottom w:w="72" w:type="dxa"/>
              <w:right w:w="20" w:type="dxa"/>
            </w:tcMar>
            <w:vAlign w:val="center"/>
          </w:tcPr>
          <w:p w14:paraId="08AC93DA">
            <w:pPr>
              <w:pStyle w:val="25"/>
              <w:bidi w:val="0"/>
              <w:rPr>
                <w:highlight w:val="none"/>
              </w:rPr>
            </w:pPr>
            <w:r>
              <w:rPr>
                <w:rFonts w:hint="eastAsia"/>
                <w:highlight w:val="none"/>
              </w:rPr>
              <w:t>建设道路</w:t>
            </w:r>
          </w:p>
        </w:tc>
        <w:tc>
          <w:tcPr>
            <w:tcW w:w="1656" w:type="dxa"/>
            <w:tcBorders>
              <w:top w:val="single" w:color="339669" w:sz="24" w:space="0"/>
            </w:tcBorders>
            <w:shd w:val="clear" w:color="auto" w:fill="E0F7EF"/>
            <w:tcMar>
              <w:top w:w="20" w:type="dxa"/>
              <w:left w:w="20" w:type="dxa"/>
              <w:bottom w:w="72" w:type="dxa"/>
              <w:right w:w="20" w:type="dxa"/>
            </w:tcMar>
            <w:vAlign w:val="center"/>
          </w:tcPr>
          <w:p w14:paraId="65BB3994">
            <w:pPr>
              <w:pStyle w:val="25"/>
              <w:bidi w:val="0"/>
              <w:rPr>
                <w:highlight w:val="none"/>
              </w:rPr>
            </w:pPr>
            <w:r>
              <w:rPr>
                <w:rFonts w:hint="eastAsia"/>
                <w:highlight w:val="none"/>
              </w:rPr>
              <w:t>7482</w:t>
            </w:r>
          </w:p>
        </w:tc>
        <w:tc>
          <w:tcPr>
            <w:tcW w:w="1380" w:type="dxa"/>
            <w:tcBorders>
              <w:top w:val="single" w:color="339669" w:sz="24" w:space="0"/>
            </w:tcBorders>
            <w:shd w:val="clear" w:color="auto" w:fill="E0F7EF"/>
            <w:tcMar>
              <w:top w:w="20" w:type="dxa"/>
              <w:left w:w="20" w:type="dxa"/>
              <w:bottom w:w="72" w:type="dxa"/>
              <w:right w:w="20" w:type="dxa"/>
            </w:tcMar>
            <w:vAlign w:val="center"/>
          </w:tcPr>
          <w:p w14:paraId="2B0C4F0E">
            <w:pPr>
              <w:pStyle w:val="25"/>
              <w:bidi w:val="0"/>
              <w:rPr>
                <w:highlight w:val="none"/>
              </w:rPr>
            </w:pPr>
            <w:r>
              <w:rPr>
                <w:rFonts w:hint="eastAsia"/>
                <w:highlight w:val="none"/>
              </w:rPr>
              <w:t>800</w:t>
            </w:r>
          </w:p>
        </w:tc>
        <w:tc>
          <w:tcPr>
            <w:tcW w:w="1718" w:type="dxa"/>
            <w:tcBorders>
              <w:top w:val="single" w:color="339669" w:sz="24" w:space="0"/>
            </w:tcBorders>
            <w:shd w:val="clear" w:color="auto" w:fill="E0F7EF"/>
            <w:tcMar>
              <w:top w:w="20" w:type="dxa"/>
              <w:left w:w="20" w:type="dxa"/>
              <w:bottom w:w="72" w:type="dxa"/>
              <w:right w:w="20" w:type="dxa"/>
            </w:tcMar>
            <w:vAlign w:val="center"/>
          </w:tcPr>
          <w:p w14:paraId="52772EF3">
            <w:pPr>
              <w:pStyle w:val="25"/>
              <w:bidi w:val="0"/>
              <w:rPr>
                <w:highlight w:val="none"/>
              </w:rPr>
            </w:pPr>
            <w:r>
              <w:rPr>
                <w:rFonts w:hint="eastAsia"/>
                <w:highlight w:val="none"/>
              </w:rPr>
              <w:t>598.56</w:t>
            </w:r>
          </w:p>
        </w:tc>
      </w:tr>
      <w:tr w14:paraId="71F74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FFFFFF"/>
            <w:tcMar>
              <w:top w:w="20" w:type="dxa"/>
              <w:left w:w="20" w:type="dxa"/>
              <w:bottom w:w="72" w:type="dxa"/>
              <w:right w:w="20" w:type="dxa"/>
            </w:tcMar>
            <w:vAlign w:val="center"/>
          </w:tcPr>
          <w:p w14:paraId="64863593">
            <w:pPr>
              <w:pStyle w:val="25"/>
              <w:bidi w:val="0"/>
              <w:rPr>
                <w:rFonts w:hint="eastAsia"/>
                <w:highlight w:val="none"/>
                <w:lang w:eastAsia="zh-CN"/>
              </w:rPr>
            </w:pPr>
            <w:r>
              <w:rPr>
                <w:rFonts w:hint="eastAsia"/>
                <w:highlight w:val="none"/>
              </w:rPr>
              <w:t>6</w:t>
            </w:r>
          </w:p>
        </w:tc>
        <w:tc>
          <w:tcPr>
            <w:tcW w:w="1933" w:type="dxa"/>
            <w:tcBorders>
              <w:top w:val="single" w:color="339669" w:sz="24" w:space="0"/>
            </w:tcBorders>
            <w:shd w:val="clear" w:color="auto" w:fill="FFFFFF"/>
            <w:tcMar>
              <w:top w:w="20" w:type="dxa"/>
              <w:left w:w="20" w:type="dxa"/>
              <w:bottom w:w="72" w:type="dxa"/>
              <w:right w:w="20" w:type="dxa"/>
            </w:tcMar>
            <w:vAlign w:val="center"/>
          </w:tcPr>
          <w:p w14:paraId="2DA628EB">
            <w:pPr>
              <w:pStyle w:val="25"/>
              <w:bidi w:val="0"/>
              <w:rPr>
                <w:highlight w:val="none"/>
              </w:rPr>
            </w:pPr>
            <w:r>
              <w:rPr>
                <w:rFonts w:hint="eastAsia"/>
                <w:highlight w:val="none"/>
              </w:rPr>
              <w:t>绿化、硬化</w:t>
            </w:r>
          </w:p>
        </w:tc>
        <w:tc>
          <w:tcPr>
            <w:tcW w:w="1656" w:type="dxa"/>
            <w:tcBorders>
              <w:top w:val="single" w:color="339669" w:sz="24" w:space="0"/>
            </w:tcBorders>
            <w:shd w:val="clear" w:color="auto" w:fill="FFFFFF"/>
            <w:tcMar>
              <w:top w:w="20" w:type="dxa"/>
              <w:left w:w="20" w:type="dxa"/>
              <w:bottom w:w="72" w:type="dxa"/>
              <w:right w:w="20" w:type="dxa"/>
            </w:tcMar>
            <w:vAlign w:val="center"/>
          </w:tcPr>
          <w:p w14:paraId="52B30D07">
            <w:pPr>
              <w:pStyle w:val="25"/>
              <w:bidi w:val="0"/>
              <w:rPr>
                <w:highlight w:val="none"/>
              </w:rPr>
            </w:pPr>
            <w:r>
              <w:rPr>
                <w:rFonts w:hint="eastAsia"/>
                <w:highlight w:val="none"/>
              </w:rPr>
              <w:t>8000</w:t>
            </w:r>
          </w:p>
        </w:tc>
        <w:tc>
          <w:tcPr>
            <w:tcW w:w="1380" w:type="dxa"/>
            <w:tcBorders>
              <w:top w:val="single" w:color="339669" w:sz="24" w:space="0"/>
            </w:tcBorders>
            <w:shd w:val="clear" w:color="auto" w:fill="FFFFFF"/>
            <w:tcMar>
              <w:top w:w="20" w:type="dxa"/>
              <w:left w:w="20" w:type="dxa"/>
              <w:bottom w:w="72" w:type="dxa"/>
              <w:right w:w="20" w:type="dxa"/>
            </w:tcMar>
            <w:vAlign w:val="center"/>
          </w:tcPr>
          <w:p w14:paraId="3B825BCB">
            <w:pPr>
              <w:pStyle w:val="25"/>
              <w:bidi w:val="0"/>
              <w:rPr>
                <w:highlight w:val="none"/>
              </w:rPr>
            </w:pPr>
            <w:r>
              <w:rPr>
                <w:rFonts w:hint="eastAsia"/>
                <w:highlight w:val="none"/>
              </w:rPr>
              <w:t>70</w:t>
            </w:r>
          </w:p>
        </w:tc>
        <w:tc>
          <w:tcPr>
            <w:tcW w:w="1718" w:type="dxa"/>
            <w:tcBorders>
              <w:top w:val="single" w:color="339669" w:sz="24" w:space="0"/>
            </w:tcBorders>
            <w:shd w:val="clear" w:color="auto" w:fill="FFFFFF"/>
            <w:tcMar>
              <w:top w:w="20" w:type="dxa"/>
              <w:left w:w="20" w:type="dxa"/>
              <w:bottom w:w="72" w:type="dxa"/>
              <w:right w:w="20" w:type="dxa"/>
            </w:tcMar>
            <w:vAlign w:val="center"/>
          </w:tcPr>
          <w:p w14:paraId="0E2AA09E">
            <w:pPr>
              <w:pStyle w:val="25"/>
              <w:bidi w:val="0"/>
              <w:rPr>
                <w:highlight w:val="none"/>
              </w:rPr>
            </w:pPr>
            <w:r>
              <w:rPr>
                <w:rFonts w:hint="eastAsia"/>
                <w:highlight w:val="none"/>
              </w:rPr>
              <w:t>56</w:t>
            </w:r>
          </w:p>
        </w:tc>
      </w:tr>
      <w:tr w14:paraId="6EAFB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240E8800">
            <w:pPr>
              <w:pStyle w:val="25"/>
              <w:bidi w:val="0"/>
              <w:rPr>
                <w:highlight w:val="none"/>
              </w:rPr>
            </w:pPr>
            <w:r>
              <w:rPr>
                <w:rFonts w:hint="eastAsia"/>
                <w:highlight w:val="none"/>
              </w:rPr>
              <w:t>小计</w:t>
            </w:r>
          </w:p>
        </w:tc>
        <w:tc>
          <w:tcPr>
            <w:tcW w:w="4969" w:type="dxa"/>
            <w:gridSpan w:val="3"/>
            <w:tcBorders>
              <w:top w:val="single" w:color="339669" w:sz="24" w:space="0"/>
            </w:tcBorders>
            <w:shd w:val="clear" w:color="auto" w:fill="E0F7EF"/>
            <w:tcMar>
              <w:top w:w="20" w:type="dxa"/>
              <w:left w:w="20" w:type="dxa"/>
              <w:bottom w:w="72" w:type="dxa"/>
              <w:right w:w="20" w:type="dxa"/>
            </w:tcMar>
            <w:vAlign w:val="center"/>
          </w:tcPr>
          <w:p w14:paraId="0BF52BD8">
            <w:pPr>
              <w:pStyle w:val="25"/>
              <w:bidi w:val="0"/>
              <w:rPr>
                <w:highlight w:val="none"/>
              </w:rPr>
            </w:pPr>
            <w:r>
              <w:rPr>
                <w:rFonts w:hint="eastAsia"/>
                <w:highlight w:val="none"/>
              </w:rPr>
              <w:t>15482</w:t>
            </w:r>
          </w:p>
        </w:tc>
        <w:tc>
          <w:tcPr>
            <w:tcW w:w="1718" w:type="dxa"/>
            <w:tcBorders>
              <w:top w:val="single" w:color="339669" w:sz="24" w:space="0"/>
            </w:tcBorders>
            <w:shd w:val="clear" w:color="auto" w:fill="E0F7EF"/>
            <w:tcMar>
              <w:top w:w="20" w:type="dxa"/>
              <w:left w:w="20" w:type="dxa"/>
              <w:bottom w:w="72" w:type="dxa"/>
              <w:right w:w="20" w:type="dxa"/>
            </w:tcMar>
            <w:vAlign w:val="center"/>
          </w:tcPr>
          <w:p w14:paraId="61C8CA82">
            <w:pPr>
              <w:pStyle w:val="25"/>
              <w:bidi w:val="0"/>
              <w:rPr>
                <w:highlight w:val="none"/>
              </w:rPr>
            </w:pPr>
            <w:r>
              <w:rPr>
                <w:rFonts w:hint="eastAsia"/>
                <w:highlight w:val="none"/>
              </w:rPr>
              <w:t>654.56</w:t>
            </w:r>
          </w:p>
        </w:tc>
      </w:tr>
      <w:tr w14:paraId="1B9E0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FFFFFF"/>
            <w:tcMar>
              <w:top w:w="20" w:type="dxa"/>
              <w:left w:w="20" w:type="dxa"/>
              <w:bottom w:w="72" w:type="dxa"/>
              <w:right w:w="20" w:type="dxa"/>
            </w:tcMar>
            <w:vAlign w:val="center"/>
          </w:tcPr>
          <w:p w14:paraId="12B1F654">
            <w:pPr>
              <w:pStyle w:val="25"/>
              <w:bidi w:val="0"/>
              <w:rPr>
                <w:rFonts w:hint="eastAsia"/>
                <w:highlight w:val="none"/>
                <w:lang w:eastAsia="zh-CN"/>
              </w:rPr>
            </w:pPr>
            <w:r>
              <w:rPr>
                <w:rFonts w:hint="eastAsia"/>
                <w:highlight w:val="none"/>
              </w:rPr>
              <w:t>7</w:t>
            </w:r>
          </w:p>
        </w:tc>
        <w:tc>
          <w:tcPr>
            <w:tcW w:w="1933" w:type="dxa"/>
            <w:tcBorders>
              <w:top w:val="single" w:color="339669" w:sz="24" w:space="0"/>
            </w:tcBorders>
            <w:shd w:val="clear" w:color="auto" w:fill="FFFFFF"/>
            <w:tcMar>
              <w:top w:w="20" w:type="dxa"/>
              <w:left w:w="20" w:type="dxa"/>
              <w:bottom w:w="72" w:type="dxa"/>
              <w:right w:w="20" w:type="dxa"/>
            </w:tcMar>
            <w:vAlign w:val="center"/>
          </w:tcPr>
          <w:p w14:paraId="730112CC">
            <w:pPr>
              <w:pStyle w:val="25"/>
              <w:bidi w:val="0"/>
              <w:rPr>
                <w:highlight w:val="none"/>
              </w:rPr>
            </w:pPr>
            <w:r>
              <w:rPr>
                <w:rFonts w:hint="eastAsia"/>
                <w:highlight w:val="none"/>
              </w:rPr>
              <w:t>拆迁内容</w:t>
            </w:r>
          </w:p>
        </w:tc>
        <w:tc>
          <w:tcPr>
            <w:tcW w:w="1656" w:type="dxa"/>
            <w:tcBorders>
              <w:top w:val="single" w:color="339669" w:sz="24" w:space="0"/>
            </w:tcBorders>
            <w:shd w:val="clear" w:color="auto" w:fill="FFFFFF"/>
            <w:tcMar>
              <w:top w:w="20" w:type="dxa"/>
              <w:left w:w="20" w:type="dxa"/>
              <w:bottom w:w="72" w:type="dxa"/>
              <w:right w:w="20" w:type="dxa"/>
            </w:tcMar>
            <w:vAlign w:val="center"/>
          </w:tcPr>
          <w:p w14:paraId="504A67D6">
            <w:pPr>
              <w:pStyle w:val="25"/>
              <w:bidi w:val="0"/>
              <w:rPr>
                <w:highlight w:val="none"/>
              </w:rPr>
            </w:pPr>
            <w:r>
              <w:rPr>
                <w:rFonts w:hint="eastAsia"/>
                <w:highlight w:val="none"/>
              </w:rPr>
              <w:t>1791</w:t>
            </w:r>
          </w:p>
        </w:tc>
        <w:tc>
          <w:tcPr>
            <w:tcW w:w="1380" w:type="dxa"/>
            <w:tcBorders>
              <w:top w:val="single" w:color="339669" w:sz="24" w:space="0"/>
            </w:tcBorders>
            <w:shd w:val="clear" w:color="auto" w:fill="FFFFFF"/>
            <w:tcMar>
              <w:top w:w="20" w:type="dxa"/>
              <w:left w:w="20" w:type="dxa"/>
              <w:bottom w:w="72" w:type="dxa"/>
              <w:right w:w="20" w:type="dxa"/>
            </w:tcMar>
            <w:vAlign w:val="center"/>
          </w:tcPr>
          <w:p w14:paraId="32EFDC18">
            <w:pPr>
              <w:pStyle w:val="25"/>
              <w:bidi w:val="0"/>
              <w:rPr>
                <w:highlight w:val="none"/>
              </w:rPr>
            </w:pPr>
            <w:r>
              <w:rPr>
                <w:rFonts w:hint="eastAsia"/>
                <w:highlight w:val="none"/>
              </w:rPr>
              <w:t>3000</w:t>
            </w:r>
          </w:p>
        </w:tc>
        <w:tc>
          <w:tcPr>
            <w:tcW w:w="1718" w:type="dxa"/>
            <w:tcBorders>
              <w:top w:val="single" w:color="339669" w:sz="24" w:space="0"/>
            </w:tcBorders>
            <w:shd w:val="clear" w:color="auto" w:fill="FFFFFF"/>
            <w:tcMar>
              <w:top w:w="20" w:type="dxa"/>
              <w:left w:w="20" w:type="dxa"/>
              <w:bottom w:w="72" w:type="dxa"/>
              <w:right w:w="20" w:type="dxa"/>
            </w:tcMar>
            <w:vAlign w:val="center"/>
          </w:tcPr>
          <w:p w14:paraId="600AB674">
            <w:pPr>
              <w:pStyle w:val="25"/>
              <w:bidi w:val="0"/>
              <w:rPr>
                <w:highlight w:val="none"/>
              </w:rPr>
            </w:pPr>
            <w:r>
              <w:rPr>
                <w:rFonts w:hint="eastAsia"/>
                <w:highlight w:val="none"/>
              </w:rPr>
              <w:t>537.3</w:t>
            </w:r>
          </w:p>
        </w:tc>
      </w:tr>
      <w:tr w14:paraId="6584C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1656" w:type="dxa"/>
            <w:tcBorders>
              <w:top w:val="single" w:color="339669" w:sz="24" w:space="0"/>
            </w:tcBorders>
            <w:shd w:val="clear" w:color="auto" w:fill="E0F7EF"/>
            <w:tcMar>
              <w:top w:w="20" w:type="dxa"/>
              <w:left w:w="20" w:type="dxa"/>
              <w:bottom w:w="72" w:type="dxa"/>
              <w:right w:w="20" w:type="dxa"/>
            </w:tcMar>
            <w:vAlign w:val="center"/>
          </w:tcPr>
          <w:p w14:paraId="72AE5EBA">
            <w:pPr>
              <w:pStyle w:val="25"/>
              <w:bidi w:val="0"/>
              <w:rPr>
                <w:highlight w:val="none"/>
              </w:rPr>
            </w:pPr>
            <w:r>
              <w:rPr>
                <w:rFonts w:hint="eastAsia"/>
                <w:highlight w:val="none"/>
              </w:rPr>
              <w:t>总计</w:t>
            </w:r>
          </w:p>
        </w:tc>
        <w:tc>
          <w:tcPr>
            <w:tcW w:w="4969" w:type="dxa"/>
            <w:gridSpan w:val="3"/>
            <w:tcBorders>
              <w:top w:val="single" w:color="339669" w:sz="24" w:space="0"/>
            </w:tcBorders>
            <w:shd w:val="clear" w:color="auto" w:fill="E0F7EF"/>
            <w:tcMar>
              <w:top w:w="20" w:type="dxa"/>
              <w:left w:w="20" w:type="dxa"/>
              <w:bottom w:w="72" w:type="dxa"/>
              <w:right w:w="20" w:type="dxa"/>
            </w:tcMar>
            <w:vAlign w:val="center"/>
          </w:tcPr>
          <w:p w14:paraId="01246BBA">
            <w:pPr>
              <w:pStyle w:val="25"/>
              <w:bidi w:val="0"/>
              <w:rPr>
                <w:highlight w:val="none"/>
              </w:rPr>
            </w:pPr>
          </w:p>
        </w:tc>
        <w:tc>
          <w:tcPr>
            <w:tcW w:w="1718" w:type="dxa"/>
            <w:tcBorders>
              <w:top w:val="single" w:color="339669" w:sz="24" w:space="0"/>
            </w:tcBorders>
            <w:shd w:val="clear" w:color="auto" w:fill="E0F7EF"/>
            <w:tcMar>
              <w:top w:w="20" w:type="dxa"/>
              <w:left w:w="20" w:type="dxa"/>
              <w:bottom w:w="72" w:type="dxa"/>
              <w:right w:w="20" w:type="dxa"/>
            </w:tcMar>
            <w:vAlign w:val="center"/>
          </w:tcPr>
          <w:p w14:paraId="13A09700">
            <w:pPr>
              <w:pStyle w:val="25"/>
              <w:bidi w:val="0"/>
              <w:rPr>
                <w:highlight w:val="none"/>
              </w:rPr>
            </w:pPr>
            <w:r>
              <w:rPr>
                <w:rFonts w:hint="eastAsia"/>
                <w:highlight w:val="none"/>
              </w:rPr>
              <w:t>约1530万</w:t>
            </w:r>
          </w:p>
        </w:tc>
      </w:tr>
    </w:tbl>
    <w:p w14:paraId="24CE33C3">
      <w:pPr>
        <w:pStyle w:val="24"/>
        <w:bidi w:val="0"/>
        <w:rPr>
          <w:highlight w:val="none"/>
        </w:rPr>
      </w:pPr>
      <w:r>
        <w:rPr>
          <w:highlight w:val="none"/>
        </w:rPr>
        <w:drawing>
          <wp:inline distT="0" distB="0" distL="114300" distR="114300">
            <wp:extent cx="5319395" cy="3666490"/>
            <wp:effectExtent l="0" t="0" r="14605" b="10160"/>
            <wp:docPr id="32" name="图片 3" descr="一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descr="一期"/>
                    <pic:cNvPicPr>
                      <a:picLocks noChangeAspect="1"/>
                    </pic:cNvPicPr>
                  </pic:nvPicPr>
                  <pic:blipFill>
                    <a:blip r:embed="rId38"/>
                    <a:srcRect l="6483" t="7676" r="6582" b="7611"/>
                    <a:stretch>
                      <a:fillRect/>
                    </a:stretch>
                  </pic:blipFill>
                  <pic:spPr>
                    <a:xfrm>
                      <a:off x="0" y="0"/>
                      <a:ext cx="5319395" cy="3666490"/>
                    </a:xfrm>
                    <a:prstGeom prst="rect">
                      <a:avLst/>
                    </a:prstGeom>
                  </pic:spPr>
                </pic:pic>
              </a:graphicData>
            </a:graphic>
          </wp:inline>
        </w:drawing>
      </w:r>
    </w:p>
    <w:p w14:paraId="25194D3B">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5</w:t>
      </w:r>
      <w:r>
        <w:fldChar w:fldCharType="end"/>
      </w:r>
      <w:r>
        <w:rPr>
          <w:rFonts w:hint="eastAsia"/>
          <w:highlight w:val="none"/>
          <w:lang w:val="en-US" w:eastAsia="zh-CN"/>
        </w:rPr>
        <w:t>一期建设内容图</w:t>
      </w:r>
    </w:p>
    <w:p w14:paraId="07CDD36D">
      <w:pPr>
        <w:bidi w:val="0"/>
        <w:rPr>
          <w:rFonts w:hint="eastAsia"/>
          <w:lang w:val="en-US" w:eastAsia="zh-CN"/>
        </w:rPr>
      </w:pPr>
      <w:bookmarkStart w:id="128" w:name="_Toc30193"/>
      <w:r>
        <w:rPr>
          <w:rFonts w:hint="eastAsia"/>
          <w:lang w:val="en-US" w:eastAsia="zh-CN"/>
        </w:rPr>
        <w:t>2、二期建设</w:t>
      </w:r>
      <w:bookmarkEnd w:id="128"/>
    </w:p>
    <w:p w14:paraId="7479322B">
      <w:pPr>
        <w:bidi w:val="0"/>
        <w:rPr>
          <w:rFonts w:hint="eastAsia"/>
          <w:highlight w:val="none"/>
          <w:lang w:val="en-US" w:eastAsia="zh-CN"/>
        </w:rPr>
      </w:pPr>
      <w:r>
        <w:rPr>
          <w:rFonts w:hint="default"/>
          <w:highlight w:val="none"/>
          <w:lang w:val="en-US" w:eastAsia="zh-CN"/>
        </w:rPr>
        <w:t>优先建设场区东侧</w:t>
      </w:r>
      <w:r>
        <w:rPr>
          <w:rFonts w:hint="eastAsia"/>
          <w:highlight w:val="none"/>
          <w:lang w:val="en-US" w:eastAsia="zh-CN"/>
        </w:rPr>
        <w:t>，建设小商品分拣中心一处，建设交易中心一处，总计5000平方，改造升级原有建筑1000平方米，总计投资2650万元。</w:t>
      </w:r>
    </w:p>
    <w:p w14:paraId="47456AB0">
      <w:pPr>
        <w:pStyle w:val="11"/>
        <w:bidi w:val="0"/>
        <w:rPr>
          <w:rFonts w:hint="default"/>
          <w:highlight w:val="none"/>
          <w:lang w:val="en-US" w:eastAsia="zh-CN"/>
        </w:rPr>
      </w:pPr>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6</w:t>
      </w:r>
      <w:r>
        <w:fldChar w:fldCharType="end"/>
      </w:r>
      <w:r>
        <w:rPr>
          <w:rFonts w:hint="eastAsia"/>
          <w:lang w:val="en-US" w:eastAsia="zh-CN"/>
        </w:rPr>
        <w:t xml:space="preserve"> </w:t>
      </w:r>
      <w:r>
        <w:rPr>
          <w:rFonts w:hint="eastAsia"/>
          <w:highlight w:val="none"/>
          <w:lang w:val="en-US" w:eastAsia="zh-CN"/>
        </w:rPr>
        <w:t>二期建设内容表</w:t>
      </w:r>
    </w:p>
    <w:tbl>
      <w:tblPr>
        <w:tblStyle w:val="20"/>
        <w:tblW w:w="4998"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25"/>
        <w:gridCol w:w="2031"/>
        <w:gridCol w:w="1688"/>
        <w:gridCol w:w="1280"/>
        <w:gridCol w:w="2219"/>
      </w:tblGrid>
      <w:tr w14:paraId="1A0A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7" w:hRule="atLeast"/>
          <w:tblCellSpacing w:w="0" w:type="dxa"/>
        </w:trPr>
        <w:tc>
          <w:tcPr>
            <w:tcW w:w="674" w:type="pct"/>
            <w:tcBorders>
              <w:top w:val="single" w:color="339669" w:sz="24" w:space="0"/>
            </w:tcBorders>
            <w:shd w:val="clear" w:color="auto" w:fill="339669"/>
            <w:tcMar>
              <w:top w:w="20" w:type="dxa"/>
              <w:left w:w="20" w:type="dxa"/>
              <w:bottom w:w="72" w:type="dxa"/>
              <w:right w:w="20" w:type="dxa"/>
            </w:tcMar>
            <w:vAlign w:val="center"/>
          </w:tcPr>
          <w:p w14:paraId="5A94C9DD">
            <w:pPr>
              <w:pStyle w:val="25"/>
              <w:bidi w:val="0"/>
              <w:rPr>
                <w:highlight w:val="none"/>
              </w:rPr>
            </w:pPr>
            <w:r>
              <w:rPr>
                <w:highlight w:val="none"/>
              </w:rPr>
              <w:t>编号</w:t>
            </w:r>
          </w:p>
        </w:tc>
        <w:tc>
          <w:tcPr>
            <w:tcW w:w="1217" w:type="pct"/>
            <w:tcBorders>
              <w:top w:val="single" w:color="339669" w:sz="24" w:space="0"/>
            </w:tcBorders>
            <w:shd w:val="clear" w:color="auto" w:fill="339669"/>
            <w:tcMar>
              <w:top w:w="20" w:type="dxa"/>
              <w:left w:w="20" w:type="dxa"/>
              <w:bottom w:w="72" w:type="dxa"/>
              <w:right w:w="20" w:type="dxa"/>
            </w:tcMar>
            <w:vAlign w:val="center"/>
          </w:tcPr>
          <w:p w14:paraId="7270BE22">
            <w:pPr>
              <w:pStyle w:val="25"/>
              <w:bidi w:val="0"/>
              <w:rPr>
                <w:highlight w:val="none"/>
              </w:rPr>
            </w:pPr>
            <w:r>
              <w:rPr>
                <w:rFonts w:hint="eastAsia"/>
                <w:highlight w:val="none"/>
              </w:rPr>
              <w:t>名称</w:t>
            </w:r>
          </w:p>
        </w:tc>
        <w:tc>
          <w:tcPr>
            <w:tcW w:w="1011" w:type="pct"/>
            <w:tcBorders>
              <w:top w:val="single" w:color="339669" w:sz="24" w:space="0"/>
            </w:tcBorders>
            <w:shd w:val="clear" w:color="auto" w:fill="339669"/>
            <w:tcMar>
              <w:top w:w="20" w:type="dxa"/>
              <w:left w:w="20" w:type="dxa"/>
              <w:bottom w:w="72" w:type="dxa"/>
              <w:right w:w="20" w:type="dxa"/>
            </w:tcMar>
            <w:vAlign w:val="center"/>
          </w:tcPr>
          <w:p w14:paraId="08B3C554">
            <w:pPr>
              <w:pStyle w:val="25"/>
              <w:bidi w:val="0"/>
              <w:rPr>
                <w:highlight w:val="none"/>
              </w:rPr>
            </w:pPr>
            <w:r>
              <w:rPr>
                <w:rFonts w:hint="eastAsia"/>
                <w:highlight w:val="none"/>
              </w:rPr>
              <w:t>面积（㎡）</w:t>
            </w:r>
          </w:p>
        </w:tc>
        <w:tc>
          <w:tcPr>
            <w:tcW w:w="767" w:type="pct"/>
            <w:tcBorders>
              <w:top w:val="single" w:color="339669" w:sz="24" w:space="0"/>
            </w:tcBorders>
            <w:shd w:val="clear" w:color="auto" w:fill="339669"/>
            <w:tcMar>
              <w:top w:w="20" w:type="dxa"/>
              <w:left w:w="20" w:type="dxa"/>
              <w:bottom w:w="72" w:type="dxa"/>
              <w:right w:w="20" w:type="dxa"/>
            </w:tcMar>
            <w:vAlign w:val="center"/>
          </w:tcPr>
          <w:p w14:paraId="0C1715C0">
            <w:pPr>
              <w:pStyle w:val="25"/>
              <w:bidi w:val="0"/>
              <w:rPr>
                <w:highlight w:val="none"/>
              </w:rPr>
            </w:pPr>
            <w:r>
              <w:rPr>
                <w:rFonts w:hint="eastAsia"/>
                <w:highlight w:val="none"/>
              </w:rPr>
              <w:t>单价</w:t>
            </w:r>
          </w:p>
        </w:tc>
        <w:tc>
          <w:tcPr>
            <w:tcW w:w="1329" w:type="pct"/>
            <w:tcBorders>
              <w:top w:val="single" w:color="339669" w:sz="24" w:space="0"/>
            </w:tcBorders>
            <w:shd w:val="clear" w:color="auto" w:fill="339669"/>
            <w:tcMar>
              <w:top w:w="20" w:type="dxa"/>
              <w:left w:w="20" w:type="dxa"/>
              <w:bottom w:w="72" w:type="dxa"/>
              <w:right w:w="20" w:type="dxa"/>
            </w:tcMar>
            <w:vAlign w:val="center"/>
          </w:tcPr>
          <w:p w14:paraId="51E42297">
            <w:pPr>
              <w:pStyle w:val="25"/>
              <w:bidi w:val="0"/>
              <w:rPr>
                <w:highlight w:val="none"/>
              </w:rPr>
            </w:pPr>
            <w:r>
              <w:rPr>
                <w:highlight w:val="none"/>
              </w:rPr>
              <w:t>造价</w:t>
            </w:r>
            <w:r>
              <w:rPr>
                <w:rFonts w:hint="eastAsia"/>
                <w:highlight w:val="none"/>
              </w:rPr>
              <w:t>(万元)</w:t>
            </w:r>
          </w:p>
        </w:tc>
      </w:tr>
      <w:tr w14:paraId="60C07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0" w:hRule="atLeast"/>
          <w:tblCellSpacing w:w="0" w:type="dxa"/>
        </w:trPr>
        <w:tc>
          <w:tcPr>
            <w:tcW w:w="1125" w:type="dxa"/>
            <w:tcBorders>
              <w:top w:val="single" w:color="339669" w:sz="24" w:space="0"/>
            </w:tcBorders>
            <w:shd w:val="clear" w:color="auto" w:fill="E0F7EF"/>
            <w:tcMar>
              <w:top w:w="20" w:type="dxa"/>
              <w:left w:w="20" w:type="dxa"/>
              <w:bottom w:w="72" w:type="dxa"/>
              <w:right w:w="20" w:type="dxa"/>
            </w:tcMar>
            <w:vAlign w:val="center"/>
          </w:tcPr>
          <w:p w14:paraId="7083FA67">
            <w:pPr>
              <w:pStyle w:val="25"/>
              <w:bidi w:val="0"/>
              <w:rPr>
                <w:highlight w:val="none"/>
              </w:rPr>
            </w:pPr>
            <w:r>
              <w:rPr>
                <w:highlight w:val="none"/>
              </w:rPr>
              <w:t>1</w:t>
            </w:r>
          </w:p>
        </w:tc>
        <w:tc>
          <w:tcPr>
            <w:tcW w:w="2031" w:type="dxa"/>
            <w:tcBorders>
              <w:top w:val="single" w:color="339669" w:sz="24" w:space="0"/>
            </w:tcBorders>
            <w:shd w:val="clear" w:color="auto" w:fill="E0F7EF"/>
            <w:tcMar>
              <w:top w:w="20" w:type="dxa"/>
              <w:left w:w="20" w:type="dxa"/>
              <w:bottom w:w="72" w:type="dxa"/>
              <w:right w:w="20" w:type="dxa"/>
            </w:tcMar>
            <w:vAlign w:val="center"/>
          </w:tcPr>
          <w:p w14:paraId="638747A5">
            <w:pPr>
              <w:pStyle w:val="25"/>
              <w:bidi w:val="0"/>
              <w:rPr>
                <w:rFonts w:hint="default" w:eastAsia="仿宋_GB2312"/>
                <w:highlight w:val="none"/>
                <w:lang w:val="en-US" w:eastAsia="zh-CN"/>
              </w:rPr>
            </w:pPr>
            <w:r>
              <w:rPr>
                <w:rFonts w:hint="eastAsia"/>
                <w:highlight w:val="none"/>
                <w:lang w:val="en-US" w:eastAsia="zh-CN"/>
              </w:rPr>
              <w:t>彰武仓储、物流行业管理中心</w:t>
            </w:r>
          </w:p>
        </w:tc>
        <w:tc>
          <w:tcPr>
            <w:tcW w:w="1688" w:type="dxa"/>
            <w:tcBorders>
              <w:top w:val="single" w:color="339669" w:sz="24" w:space="0"/>
            </w:tcBorders>
            <w:shd w:val="clear" w:color="auto" w:fill="E0F7EF"/>
            <w:tcMar>
              <w:top w:w="20" w:type="dxa"/>
              <w:left w:w="20" w:type="dxa"/>
              <w:bottom w:w="72" w:type="dxa"/>
              <w:right w:w="20" w:type="dxa"/>
            </w:tcMar>
            <w:vAlign w:val="center"/>
          </w:tcPr>
          <w:p w14:paraId="760278A4">
            <w:pPr>
              <w:pStyle w:val="25"/>
              <w:bidi w:val="0"/>
              <w:rPr>
                <w:highlight w:val="none"/>
              </w:rPr>
            </w:pPr>
            <w:r>
              <w:rPr>
                <w:rFonts w:hint="eastAsia"/>
                <w:highlight w:val="none"/>
              </w:rPr>
              <w:t>5000</w:t>
            </w:r>
          </w:p>
        </w:tc>
        <w:tc>
          <w:tcPr>
            <w:tcW w:w="1280" w:type="dxa"/>
            <w:tcBorders>
              <w:top w:val="single" w:color="339669" w:sz="24" w:space="0"/>
            </w:tcBorders>
            <w:shd w:val="clear" w:color="auto" w:fill="E0F7EF"/>
            <w:tcMar>
              <w:top w:w="20" w:type="dxa"/>
              <w:left w:w="20" w:type="dxa"/>
              <w:bottom w:w="72" w:type="dxa"/>
              <w:right w:w="20" w:type="dxa"/>
            </w:tcMar>
            <w:vAlign w:val="center"/>
          </w:tcPr>
          <w:p w14:paraId="263CE5F8">
            <w:pPr>
              <w:pStyle w:val="25"/>
              <w:bidi w:val="0"/>
              <w:rPr>
                <w:highlight w:val="none"/>
              </w:rPr>
            </w:pPr>
            <w:r>
              <w:rPr>
                <w:rFonts w:hint="eastAsia"/>
                <w:highlight w:val="none"/>
              </w:rPr>
              <w:t>3500</w:t>
            </w:r>
          </w:p>
        </w:tc>
        <w:tc>
          <w:tcPr>
            <w:tcW w:w="2219" w:type="dxa"/>
            <w:tcBorders>
              <w:top w:val="single" w:color="339669" w:sz="24" w:space="0"/>
            </w:tcBorders>
            <w:shd w:val="clear" w:color="auto" w:fill="E0F7EF"/>
            <w:tcMar>
              <w:top w:w="20" w:type="dxa"/>
              <w:left w:w="20" w:type="dxa"/>
              <w:bottom w:w="72" w:type="dxa"/>
              <w:right w:w="20" w:type="dxa"/>
            </w:tcMar>
            <w:vAlign w:val="center"/>
          </w:tcPr>
          <w:p w14:paraId="41F7F6C6">
            <w:pPr>
              <w:pStyle w:val="25"/>
              <w:bidi w:val="0"/>
              <w:rPr>
                <w:highlight w:val="none"/>
              </w:rPr>
            </w:pPr>
            <w:r>
              <w:rPr>
                <w:rFonts w:hint="eastAsia"/>
                <w:highlight w:val="none"/>
              </w:rPr>
              <w:t>1750</w:t>
            </w:r>
          </w:p>
        </w:tc>
      </w:tr>
      <w:tr w14:paraId="7CD1D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tblCellSpacing w:w="0" w:type="dxa"/>
        </w:trPr>
        <w:tc>
          <w:tcPr>
            <w:tcW w:w="1125" w:type="dxa"/>
            <w:tcBorders>
              <w:top w:val="single" w:color="339669" w:sz="24" w:space="0"/>
            </w:tcBorders>
            <w:shd w:val="clear" w:color="auto" w:fill="FFFFFF"/>
            <w:tcMar>
              <w:top w:w="20" w:type="dxa"/>
              <w:left w:w="20" w:type="dxa"/>
              <w:bottom w:w="72" w:type="dxa"/>
              <w:right w:w="20" w:type="dxa"/>
            </w:tcMar>
            <w:vAlign w:val="center"/>
          </w:tcPr>
          <w:p w14:paraId="7195CC6E">
            <w:pPr>
              <w:pStyle w:val="25"/>
              <w:bidi w:val="0"/>
              <w:rPr>
                <w:highlight w:val="none"/>
              </w:rPr>
            </w:pPr>
            <w:r>
              <w:rPr>
                <w:rFonts w:hint="eastAsia"/>
                <w:highlight w:val="none"/>
              </w:rPr>
              <w:t>2</w:t>
            </w:r>
          </w:p>
        </w:tc>
        <w:tc>
          <w:tcPr>
            <w:tcW w:w="2031" w:type="dxa"/>
            <w:tcBorders>
              <w:top w:val="single" w:color="339669" w:sz="24" w:space="0"/>
            </w:tcBorders>
            <w:shd w:val="clear" w:color="auto" w:fill="FFFFFF"/>
            <w:tcMar>
              <w:top w:w="20" w:type="dxa"/>
              <w:left w:w="20" w:type="dxa"/>
              <w:bottom w:w="72" w:type="dxa"/>
              <w:right w:w="20" w:type="dxa"/>
            </w:tcMar>
            <w:vAlign w:val="center"/>
          </w:tcPr>
          <w:p w14:paraId="338B0220">
            <w:pPr>
              <w:pStyle w:val="25"/>
              <w:bidi w:val="0"/>
              <w:rPr>
                <w:highlight w:val="none"/>
              </w:rPr>
            </w:pPr>
            <w:r>
              <w:rPr>
                <w:rFonts w:hint="eastAsia"/>
                <w:highlight w:val="none"/>
              </w:rPr>
              <w:t>货物分拣</w:t>
            </w:r>
          </w:p>
        </w:tc>
        <w:tc>
          <w:tcPr>
            <w:tcW w:w="1688" w:type="dxa"/>
            <w:tcBorders>
              <w:top w:val="single" w:color="339669" w:sz="24" w:space="0"/>
            </w:tcBorders>
            <w:shd w:val="clear" w:color="auto" w:fill="FFFFFF"/>
            <w:tcMar>
              <w:top w:w="20" w:type="dxa"/>
              <w:left w:w="20" w:type="dxa"/>
              <w:bottom w:w="72" w:type="dxa"/>
              <w:right w:w="20" w:type="dxa"/>
            </w:tcMar>
            <w:vAlign w:val="center"/>
          </w:tcPr>
          <w:p w14:paraId="635E8A89">
            <w:pPr>
              <w:pStyle w:val="25"/>
              <w:bidi w:val="0"/>
              <w:rPr>
                <w:highlight w:val="none"/>
              </w:rPr>
            </w:pPr>
            <w:r>
              <w:rPr>
                <w:rFonts w:hint="eastAsia"/>
                <w:highlight w:val="none"/>
              </w:rPr>
              <w:t>4000</w:t>
            </w:r>
          </w:p>
        </w:tc>
        <w:tc>
          <w:tcPr>
            <w:tcW w:w="1280" w:type="dxa"/>
            <w:tcBorders>
              <w:top w:val="single" w:color="339669" w:sz="24" w:space="0"/>
            </w:tcBorders>
            <w:shd w:val="clear" w:color="auto" w:fill="FFFFFF"/>
            <w:tcMar>
              <w:top w:w="20" w:type="dxa"/>
              <w:left w:w="20" w:type="dxa"/>
              <w:bottom w:w="72" w:type="dxa"/>
              <w:right w:w="20" w:type="dxa"/>
            </w:tcMar>
            <w:vAlign w:val="center"/>
          </w:tcPr>
          <w:p w14:paraId="21A81F6E">
            <w:pPr>
              <w:pStyle w:val="25"/>
              <w:bidi w:val="0"/>
              <w:rPr>
                <w:highlight w:val="none"/>
              </w:rPr>
            </w:pPr>
            <w:r>
              <w:rPr>
                <w:rFonts w:hint="eastAsia"/>
                <w:highlight w:val="none"/>
              </w:rPr>
              <w:t>2000</w:t>
            </w:r>
          </w:p>
        </w:tc>
        <w:tc>
          <w:tcPr>
            <w:tcW w:w="2219" w:type="dxa"/>
            <w:tcBorders>
              <w:top w:val="single" w:color="339669" w:sz="24" w:space="0"/>
            </w:tcBorders>
            <w:shd w:val="clear" w:color="auto" w:fill="FFFFFF"/>
            <w:tcMar>
              <w:top w:w="20" w:type="dxa"/>
              <w:left w:w="20" w:type="dxa"/>
              <w:bottom w:w="72" w:type="dxa"/>
              <w:right w:w="20" w:type="dxa"/>
            </w:tcMar>
            <w:vAlign w:val="center"/>
          </w:tcPr>
          <w:p w14:paraId="17B8DC22">
            <w:pPr>
              <w:pStyle w:val="25"/>
              <w:bidi w:val="0"/>
              <w:rPr>
                <w:highlight w:val="none"/>
              </w:rPr>
            </w:pPr>
            <w:r>
              <w:rPr>
                <w:rFonts w:hint="eastAsia"/>
                <w:highlight w:val="none"/>
              </w:rPr>
              <w:t>800</w:t>
            </w:r>
          </w:p>
        </w:tc>
      </w:tr>
      <w:tr w14:paraId="1227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0" w:hRule="atLeast"/>
          <w:tblCellSpacing w:w="0" w:type="dxa"/>
        </w:trPr>
        <w:tc>
          <w:tcPr>
            <w:tcW w:w="1125" w:type="dxa"/>
            <w:tcBorders>
              <w:top w:val="single" w:color="339669" w:sz="24" w:space="0"/>
            </w:tcBorders>
            <w:shd w:val="clear" w:color="auto" w:fill="E0F7EF"/>
            <w:tcMar>
              <w:top w:w="20" w:type="dxa"/>
              <w:left w:w="20" w:type="dxa"/>
              <w:bottom w:w="72" w:type="dxa"/>
              <w:right w:w="20" w:type="dxa"/>
            </w:tcMar>
            <w:vAlign w:val="center"/>
          </w:tcPr>
          <w:p w14:paraId="78176F65">
            <w:pPr>
              <w:pStyle w:val="25"/>
              <w:bidi w:val="0"/>
              <w:rPr>
                <w:highlight w:val="none"/>
              </w:rPr>
            </w:pPr>
            <w:r>
              <w:rPr>
                <w:rFonts w:hint="eastAsia"/>
                <w:highlight w:val="none"/>
              </w:rPr>
              <w:t>3</w:t>
            </w:r>
          </w:p>
        </w:tc>
        <w:tc>
          <w:tcPr>
            <w:tcW w:w="2031" w:type="dxa"/>
            <w:tcBorders>
              <w:top w:val="single" w:color="339669" w:sz="24" w:space="0"/>
            </w:tcBorders>
            <w:shd w:val="clear" w:color="auto" w:fill="E0F7EF"/>
            <w:tcMar>
              <w:top w:w="20" w:type="dxa"/>
              <w:left w:w="20" w:type="dxa"/>
              <w:bottom w:w="72" w:type="dxa"/>
              <w:right w:w="20" w:type="dxa"/>
            </w:tcMar>
            <w:vAlign w:val="center"/>
          </w:tcPr>
          <w:p w14:paraId="66FC9714">
            <w:pPr>
              <w:pStyle w:val="25"/>
              <w:bidi w:val="0"/>
              <w:rPr>
                <w:highlight w:val="none"/>
              </w:rPr>
            </w:pPr>
            <w:r>
              <w:rPr>
                <w:rFonts w:hint="eastAsia"/>
                <w:highlight w:val="none"/>
              </w:rPr>
              <w:t>改造原有建筑物</w:t>
            </w:r>
          </w:p>
        </w:tc>
        <w:tc>
          <w:tcPr>
            <w:tcW w:w="1688" w:type="dxa"/>
            <w:tcBorders>
              <w:top w:val="single" w:color="339669" w:sz="24" w:space="0"/>
            </w:tcBorders>
            <w:shd w:val="clear" w:color="auto" w:fill="E0F7EF"/>
            <w:tcMar>
              <w:top w:w="20" w:type="dxa"/>
              <w:left w:w="20" w:type="dxa"/>
              <w:bottom w:w="72" w:type="dxa"/>
              <w:right w:w="20" w:type="dxa"/>
            </w:tcMar>
            <w:vAlign w:val="center"/>
          </w:tcPr>
          <w:p w14:paraId="16B91AB3">
            <w:pPr>
              <w:pStyle w:val="25"/>
              <w:bidi w:val="0"/>
              <w:rPr>
                <w:highlight w:val="none"/>
              </w:rPr>
            </w:pPr>
            <w:r>
              <w:rPr>
                <w:rFonts w:hint="eastAsia"/>
                <w:highlight w:val="none"/>
              </w:rPr>
              <w:t>1000</w:t>
            </w:r>
          </w:p>
        </w:tc>
        <w:tc>
          <w:tcPr>
            <w:tcW w:w="1280" w:type="dxa"/>
            <w:tcBorders>
              <w:top w:val="single" w:color="339669" w:sz="24" w:space="0"/>
            </w:tcBorders>
            <w:shd w:val="clear" w:color="auto" w:fill="E0F7EF"/>
            <w:tcMar>
              <w:top w:w="20" w:type="dxa"/>
              <w:left w:w="20" w:type="dxa"/>
              <w:bottom w:w="72" w:type="dxa"/>
              <w:right w:w="20" w:type="dxa"/>
            </w:tcMar>
            <w:vAlign w:val="center"/>
          </w:tcPr>
          <w:p w14:paraId="3E6B18F7">
            <w:pPr>
              <w:pStyle w:val="25"/>
              <w:bidi w:val="0"/>
              <w:rPr>
                <w:highlight w:val="none"/>
              </w:rPr>
            </w:pPr>
            <w:r>
              <w:rPr>
                <w:rFonts w:hint="eastAsia"/>
                <w:highlight w:val="none"/>
              </w:rPr>
              <w:t>1000</w:t>
            </w:r>
          </w:p>
        </w:tc>
        <w:tc>
          <w:tcPr>
            <w:tcW w:w="2219" w:type="dxa"/>
            <w:tcBorders>
              <w:top w:val="single" w:color="339669" w:sz="24" w:space="0"/>
            </w:tcBorders>
            <w:shd w:val="clear" w:color="auto" w:fill="E0F7EF"/>
            <w:tcMar>
              <w:top w:w="20" w:type="dxa"/>
              <w:left w:w="20" w:type="dxa"/>
              <w:bottom w:w="72" w:type="dxa"/>
              <w:right w:w="20" w:type="dxa"/>
            </w:tcMar>
            <w:vAlign w:val="center"/>
          </w:tcPr>
          <w:p w14:paraId="78F13579">
            <w:pPr>
              <w:pStyle w:val="25"/>
              <w:bidi w:val="0"/>
              <w:rPr>
                <w:highlight w:val="none"/>
              </w:rPr>
            </w:pPr>
            <w:r>
              <w:rPr>
                <w:rFonts w:hint="eastAsia"/>
                <w:highlight w:val="none"/>
              </w:rPr>
              <w:t>100</w:t>
            </w:r>
          </w:p>
        </w:tc>
      </w:tr>
      <w:tr w14:paraId="36290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0" w:hRule="atLeast"/>
          <w:tblCellSpacing w:w="0" w:type="dxa"/>
        </w:trPr>
        <w:tc>
          <w:tcPr>
            <w:tcW w:w="1125" w:type="dxa"/>
            <w:tcBorders>
              <w:top w:val="single" w:color="339669" w:sz="24" w:space="0"/>
            </w:tcBorders>
            <w:shd w:val="clear" w:color="auto" w:fill="FFFFFF"/>
            <w:tcMar>
              <w:top w:w="20" w:type="dxa"/>
              <w:left w:w="20" w:type="dxa"/>
              <w:bottom w:w="72" w:type="dxa"/>
              <w:right w:w="20" w:type="dxa"/>
            </w:tcMar>
            <w:vAlign w:val="center"/>
          </w:tcPr>
          <w:p w14:paraId="3E9A63A8">
            <w:pPr>
              <w:pStyle w:val="25"/>
              <w:bidi w:val="0"/>
              <w:rPr>
                <w:highlight w:val="none"/>
              </w:rPr>
            </w:pPr>
            <w:r>
              <w:rPr>
                <w:rFonts w:hint="eastAsia"/>
                <w:highlight w:val="none"/>
              </w:rPr>
              <w:t>小计</w:t>
            </w:r>
          </w:p>
        </w:tc>
        <w:tc>
          <w:tcPr>
            <w:tcW w:w="2031" w:type="dxa"/>
            <w:tcBorders>
              <w:top w:val="single" w:color="339669" w:sz="24" w:space="0"/>
            </w:tcBorders>
            <w:shd w:val="clear" w:color="auto" w:fill="FFFFFF"/>
            <w:tcMar>
              <w:top w:w="20" w:type="dxa"/>
              <w:left w:w="20" w:type="dxa"/>
              <w:bottom w:w="72" w:type="dxa"/>
              <w:right w:w="20" w:type="dxa"/>
            </w:tcMar>
            <w:vAlign w:val="center"/>
          </w:tcPr>
          <w:p w14:paraId="20A9FB73">
            <w:pPr>
              <w:pStyle w:val="25"/>
              <w:bidi w:val="0"/>
              <w:rPr>
                <w:highlight w:val="none"/>
              </w:rPr>
            </w:pPr>
          </w:p>
        </w:tc>
        <w:tc>
          <w:tcPr>
            <w:tcW w:w="1688" w:type="dxa"/>
            <w:tcBorders>
              <w:top w:val="single" w:color="339669" w:sz="24" w:space="0"/>
            </w:tcBorders>
            <w:shd w:val="clear" w:color="auto" w:fill="FFFFFF"/>
            <w:tcMar>
              <w:top w:w="20" w:type="dxa"/>
              <w:left w:w="20" w:type="dxa"/>
              <w:bottom w:w="72" w:type="dxa"/>
              <w:right w:w="20" w:type="dxa"/>
            </w:tcMar>
            <w:vAlign w:val="center"/>
          </w:tcPr>
          <w:p w14:paraId="68E64271">
            <w:pPr>
              <w:pStyle w:val="25"/>
              <w:bidi w:val="0"/>
              <w:rPr>
                <w:highlight w:val="none"/>
              </w:rPr>
            </w:pPr>
            <w:r>
              <w:rPr>
                <w:rFonts w:hint="eastAsia"/>
                <w:highlight w:val="none"/>
              </w:rPr>
              <w:t>13808</w:t>
            </w:r>
          </w:p>
        </w:tc>
        <w:tc>
          <w:tcPr>
            <w:tcW w:w="1280" w:type="dxa"/>
            <w:tcBorders>
              <w:top w:val="single" w:color="339669" w:sz="24" w:space="0"/>
            </w:tcBorders>
            <w:shd w:val="clear" w:color="auto" w:fill="FFFFFF"/>
            <w:tcMar>
              <w:top w:w="20" w:type="dxa"/>
              <w:left w:w="20" w:type="dxa"/>
              <w:bottom w:w="72" w:type="dxa"/>
              <w:right w:w="20" w:type="dxa"/>
            </w:tcMar>
            <w:vAlign w:val="center"/>
          </w:tcPr>
          <w:p w14:paraId="44A1B633">
            <w:pPr>
              <w:pStyle w:val="25"/>
              <w:bidi w:val="0"/>
              <w:rPr>
                <w:highlight w:val="none"/>
              </w:rPr>
            </w:pPr>
          </w:p>
        </w:tc>
        <w:tc>
          <w:tcPr>
            <w:tcW w:w="2219" w:type="dxa"/>
            <w:tcBorders>
              <w:top w:val="single" w:color="339669" w:sz="24" w:space="0"/>
            </w:tcBorders>
            <w:shd w:val="clear" w:color="auto" w:fill="FFFFFF"/>
            <w:tcMar>
              <w:top w:w="20" w:type="dxa"/>
              <w:left w:w="20" w:type="dxa"/>
              <w:bottom w:w="72" w:type="dxa"/>
              <w:right w:w="20" w:type="dxa"/>
            </w:tcMar>
            <w:vAlign w:val="center"/>
          </w:tcPr>
          <w:p w14:paraId="2BEED333">
            <w:pPr>
              <w:pStyle w:val="25"/>
              <w:bidi w:val="0"/>
              <w:rPr>
                <w:highlight w:val="none"/>
              </w:rPr>
            </w:pPr>
            <w:r>
              <w:rPr>
                <w:rFonts w:hint="eastAsia"/>
                <w:highlight w:val="none"/>
              </w:rPr>
              <w:t>2650</w:t>
            </w:r>
          </w:p>
        </w:tc>
      </w:tr>
    </w:tbl>
    <w:p w14:paraId="627034A8">
      <w:pPr>
        <w:pStyle w:val="24"/>
        <w:bidi w:val="0"/>
        <w:rPr>
          <w:rFonts w:hint="eastAsia" w:eastAsia="仿宋_GB2312"/>
          <w:highlight w:val="none"/>
          <w:lang w:eastAsia="zh-CN"/>
        </w:rPr>
      </w:pPr>
      <w:r>
        <w:rPr>
          <w:rFonts w:hint="eastAsia" w:eastAsia="仿宋_GB2312"/>
          <w:highlight w:val="none"/>
          <w:lang w:eastAsia="zh-CN"/>
        </w:rPr>
        <w:drawing>
          <wp:inline distT="0" distB="0" distL="114300" distR="114300">
            <wp:extent cx="5263515" cy="3649345"/>
            <wp:effectExtent l="0" t="0" r="13335" b="8255"/>
            <wp:docPr id="43" name="图片 4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图片1"/>
                    <pic:cNvPicPr>
                      <a:picLocks noChangeAspect="1"/>
                    </pic:cNvPicPr>
                  </pic:nvPicPr>
                  <pic:blipFill>
                    <a:blip r:embed="rId39"/>
                    <a:stretch>
                      <a:fillRect/>
                    </a:stretch>
                  </pic:blipFill>
                  <pic:spPr>
                    <a:xfrm>
                      <a:off x="0" y="0"/>
                      <a:ext cx="5263515" cy="3649345"/>
                    </a:xfrm>
                    <a:prstGeom prst="rect">
                      <a:avLst/>
                    </a:prstGeom>
                  </pic:spPr>
                </pic:pic>
              </a:graphicData>
            </a:graphic>
          </wp:inline>
        </w:drawing>
      </w:r>
    </w:p>
    <w:p w14:paraId="55E271E9">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6</w:t>
      </w:r>
      <w:r>
        <w:fldChar w:fldCharType="end"/>
      </w:r>
      <w:r>
        <w:rPr>
          <w:rFonts w:hint="eastAsia"/>
          <w:lang w:val="en-US" w:eastAsia="zh-CN"/>
        </w:rPr>
        <w:t xml:space="preserve"> </w:t>
      </w:r>
      <w:r>
        <w:rPr>
          <w:rFonts w:hint="eastAsia"/>
          <w:highlight w:val="none"/>
          <w:lang w:val="en-US" w:eastAsia="zh-CN"/>
        </w:rPr>
        <w:t>二期建设内容图</w:t>
      </w:r>
    </w:p>
    <w:p w14:paraId="44BDBA14">
      <w:pPr>
        <w:bidi w:val="0"/>
        <w:rPr>
          <w:rFonts w:hint="eastAsia"/>
          <w:lang w:val="en-US" w:eastAsia="zh-CN"/>
        </w:rPr>
      </w:pPr>
      <w:bookmarkStart w:id="129" w:name="_Toc29830"/>
      <w:r>
        <w:rPr>
          <w:rFonts w:hint="eastAsia"/>
          <w:lang w:val="en-US" w:eastAsia="zh-CN"/>
        </w:rPr>
        <w:t>3、三期建设</w:t>
      </w:r>
      <w:bookmarkEnd w:id="129"/>
    </w:p>
    <w:p w14:paraId="29B70D1E">
      <w:pPr>
        <w:bidi w:val="0"/>
        <w:rPr>
          <w:rFonts w:hint="default"/>
          <w:highlight w:val="none"/>
          <w:lang w:val="en-US" w:eastAsia="zh-CN"/>
        </w:rPr>
      </w:pPr>
      <w:r>
        <w:rPr>
          <w:rFonts w:hint="eastAsia"/>
          <w:highlight w:val="none"/>
          <w:lang w:val="en-US" w:eastAsia="zh-CN"/>
        </w:rPr>
        <w:t>主要</w:t>
      </w:r>
      <w:r>
        <w:rPr>
          <w:rFonts w:hint="default"/>
          <w:highlight w:val="none"/>
          <w:lang w:val="en-US" w:eastAsia="zh-CN"/>
        </w:rPr>
        <w:t>建设场区西北：建设综合楼一处，面积3000平方米，视情况设定其使用功能，如普通库、冷库、小商品库等</w:t>
      </w:r>
      <w:r>
        <w:rPr>
          <w:rFonts w:hint="eastAsia"/>
          <w:highlight w:val="none"/>
          <w:lang w:val="en-US" w:eastAsia="zh-CN"/>
        </w:rPr>
        <w:t>，</w:t>
      </w:r>
      <w:r>
        <w:rPr>
          <w:rFonts w:hint="default"/>
          <w:highlight w:val="none"/>
          <w:lang w:val="en-US" w:eastAsia="zh-CN"/>
        </w:rPr>
        <w:t>建设办公楼一处</w:t>
      </w:r>
      <w:r>
        <w:rPr>
          <w:rFonts w:hint="eastAsia"/>
          <w:highlight w:val="none"/>
          <w:lang w:val="en-US" w:eastAsia="zh-CN"/>
        </w:rPr>
        <w:t>，</w:t>
      </w:r>
      <w:r>
        <w:rPr>
          <w:rFonts w:hint="default"/>
          <w:highlight w:val="none"/>
          <w:lang w:val="en-US" w:eastAsia="zh-CN"/>
        </w:rPr>
        <w:t>绿化场区4000平方米</w:t>
      </w:r>
      <w:r>
        <w:rPr>
          <w:rFonts w:hint="eastAsia"/>
          <w:highlight w:val="none"/>
          <w:lang w:val="en-US" w:eastAsia="zh-CN"/>
        </w:rPr>
        <w:t>，</w:t>
      </w:r>
      <w:r>
        <w:rPr>
          <w:rFonts w:hint="default"/>
          <w:highlight w:val="none"/>
          <w:lang w:val="en-US" w:eastAsia="zh-CN"/>
        </w:rPr>
        <w:t>改造原有建筑2000平方米</w:t>
      </w:r>
      <w:r>
        <w:rPr>
          <w:rFonts w:hint="eastAsia"/>
          <w:highlight w:val="none"/>
          <w:lang w:val="en-US" w:eastAsia="zh-CN"/>
        </w:rPr>
        <w:t>，</w:t>
      </w:r>
      <w:r>
        <w:rPr>
          <w:rFonts w:hint="default"/>
          <w:highlight w:val="none"/>
          <w:lang w:val="en-US" w:eastAsia="zh-CN"/>
        </w:rPr>
        <w:t>总计投资</w:t>
      </w:r>
      <w:r>
        <w:rPr>
          <w:rFonts w:hint="eastAsia"/>
          <w:highlight w:val="none"/>
          <w:lang w:val="en-US" w:eastAsia="zh-CN"/>
        </w:rPr>
        <w:t>1670</w:t>
      </w:r>
      <w:r>
        <w:rPr>
          <w:rFonts w:hint="default"/>
          <w:highlight w:val="none"/>
          <w:lang w:val="en-US" w:eastAsia="zh-CN"/>
        </w:rPr>
        <w:t>万元。</w:t>
      </w:r>
    </w:p>
    <w:p w14:paraId="5C891A1F">
      <w:pPr>
        <w:pStyle w:val="11"/>
        <w:bidi w:val="0"/>
        <w:rPr>
          <w:rFonts w:hint="default"/>
          <w:highlight w:val="none"/>
          <w:lang w:val="en-US" w:eastAsia="zh-CN"/>
        </w:rPr>
      </w:pPr>
      <w:bookmarkStart w:id="130" w:name="_Toc10392"/>
      <w:r>
        <w:t xml:space="preserve">表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表 \* ARABIC \s 1 </w:instrText>
      </w:r>
      <w:r>
        <w:fldChar w:fldCharType="separate"/>
      </w:r>
      <w:r>
        <w:t>7</w:t>
      </w:r>
      <w:r>
        <w:fldChar w:fldCharType="end"/>
      </w:r>
      <w:r>
        <w:rPr>
          <w:rFonts w:hint="eastAsia"/>
          <w:lang w:val="en-US" w:eastAsia="zh-CN"/>
        </w:rPr>
        <w:t xml:space="preserve"> </w:t>
      </w:r>
      <w:r>
        <w:rPr>
          <w:rFonts w:hint="eastAsia"/>
          <w:highlight w:val="none"/>
          <w:lang w:val="en-US" w:eastAsia="zh-CN"/>
        </w:rPr>
        <w:t>三期建设内容表</w:t>
      </w:r>
      <w:bookmarkEnd w:id="130"/>
    </w:p>
    <w:tbl>
      <w:tblPr>
        <w:tblStyle w:val="20"/>
        <w:tblW w:w="4998"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401"/>
        <w:gridCol w:w="1401"/>
        <w:gridCol w:w="1847"/>
        <w:gridCol w:w="1847"/>
        <w:gridCol w:w="1847"/>
      </w:tblGrid>
      <w:tr w14:paraId="460F4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80" w:hRule="atLeast"/>
          <w:tblCellSpacing w:w="0" w:type="dxa"/>
        </w:trPr>
        <w:tc>
          <w:tcPr>
            <w:tcW w:w="839" w:type="pct"/>
            <w:tcBorders>
              <w:top w:val="single" w:color="339669" w:sz="24" w:space="0"/>
            </w:tcBorders>
            <w:shd w:val="clear" w:color="auto" w:fill="339669"/>
            <w:tcMar>
              <w:top w:w="20" w:type="dxa"/>
              <w:left w:w="20" w:type="dxa"/>
              <w:bottom w:w="72" w:type="dxa"/>
              <w:right w:w="20" w:type="dxa"/>
            </w:tcMar>
            <w:vAlign w:val="center"/>
          </w:tcPr>
          <w:p w14:paraId="50D3AA1F">
            <w:pPr>
              <w:pStyle w:val="25"/>
              <w:bidi w:val="0"/>
              <w:rPr>
                <w:highlight w:val="none"/>
              </w:rPr>
            </w:pPr>
            <w:r>
              <w:rPr>
                <w:highlight w:val="none"/>
              </w:rPr>
              <w:t>编号</w:t>
            </w:r>
          </w:p>
        </w:tc>
        <w:tc>
          <w:tcPr>
            <w:tcW w:w="839" w:type="pct"/>
            <w:tcBorders>
              <w:top w:val="single" w:color="339669" w:sz="24" w:space="0"/>
            </w:tcBorders>
            <w:shd w:val="clear" w:color="auto" w:fill="339669"/>
            <w:tcMar>
              <w:top w:w="20" w:type="dxa"/>
              <w:left w:w="20" w:type="dxa"/>
              <w:bottom w:w="72" w:type="dxa"/>
              <w:right w:w="20" w:type="dxa"/>
            </w:tcMar>
            <w:vAlign w:val="center"/>
          </w:tcPr>
          <w:p w14:paraId="44F4B15B">
            <w:pPr>
              <w:pStyle w:val="25"/>
              <w:bidi w:val="0"/>
              <w:rPr>
                <w:highlight w:val="none"/>
              </w:rPr>
            </w:pPr>
            <w:r>
              <w:rPr>
                <w:highlight w:val="none"/>
              </w:rPr>
              <w:t>名称</w:t>
            </w:r>
          </w:p>
        </w:tc>
        <w:tc>
          <w:tcPr>
            <w:tcW w:w="1106" w:type="pct"/>
            <w:tcBorders>
              <w:top w:val="single" w:color="339669" w:sz="24" w:space="0"/>
            </w:tcBorders>
            <w:shd w:val="clear" w:color="auto" w:fill="339669"/>
            <w:tcMar>
              <w:top w:w="20" w:type="dxa"/>
              <w:left w:w="20" w:type="dxa"/>
              <w:bottom w:w="72" w:type="dxa"/>
              <w:right w:w="20" w:type="dxa"/>
            </w:tcMar>
            <w:vAlign w:val="center"/>
          </w:tcPr>
          <w:p w14:paraId="5E782F8F">
            <w:pPr>
              <w:pStyle w:val="25"/>
              <w:bidi w:val="0"/>
              <w:rPr>
                <w:highlight w:val="none"/>
              </w:rPr>
            </w:pPr>
            <w:r>
              <w:rPr>
                <w:highlight w:val="none"/>
              </w:rPr>
              <w:t>面积（㎡）</w:t>
            </w:r>
          </w:p>
        </w:tc>
        <w:tc>
          <w:tcPr>
            <w:tcW w:w="1106" w:type="pct"/>
            <w:tcBorders>
              <w:top w:val="single" w:color="339669" w:sz="24" w:space="0"/>
            </w:tcBorders>
            <w:shd w:val="clear" w:color="auto" w:fill="339669"/>
            <w:tcMar>
              <w:top w:w="20" w:type="dxa"/>
              <w:left w:w="20" w:type="dxa"/>
              <w:bottom w:w="72" w:type="dxa"/>
              <w:right w:w="20" w:type="dxa"/>
            </w:tcMar>
            <w:vAlign w:val="center"/>
          </w:tcPr>
          <w:p w14:paraId="05FD56F8">
            <w:pPr>
              <w:pStyle w:val="25"/>
              <w:bidi w:val="0"/>
              <w:rPr>
                <w:highlight w:val="none"/>
              </w:rPr>
            </w:pPr>
            <w:r>
              <w:rPr>
                <w:highlight w:val="none"/>
              </w:rPr>
              <w:t>单价</w:t>
            </w:r>
          </w:p>
        </w:tc>
        <w:tc>
          <w:tcPr>
            <w:tcW w:w="1106" w:type="pct"/>
            <w:tcBorders>
              <w:top w:val="single" w:color="339669" w:sz="24" w:space="0"/>
            </w:tcBorders>
            <w:shd w:val="clear" w:color="auto" w:fill="339669"/>
            <w:tcMar>
              <w:top w:w="20" w:type="dxa"/>
              <w:left w:w="20" w:type="dxa"/>
              <w:bottom w:w="72" w:type="dxa"/>
              <w:right w:w="20" w:type="dxa"/>
            </w:tcMar>
            <w:vAlign w:val="center"/>
          </w:tcPr>
          <w:p w14:paraId="2E339C2C">
            <w:pPr>
              <w:pStyle w:val="25"/>
              <w:bidi w:val="0"/>
              <w:rPr>
                <w:highlight w:val="none"/>
              </w:rPr>
            </w:pPr>
            <w:r>
              <w:rPr>
                <w:highlight w:val="none"/>
              </w:rPr>
              <w:t>造价(万元)</w:t>
            </w:r>
          </w:p>
        </w:tc>
      </w:tr>
      <w:tr w14:paraId="0C5C6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blCellSpacing w:w="0" w:type="dxa"/>
        </w:trPr>
        <w:tc>
          <w:tcPr>
            <w:tcW w:w="1400" w:type="dxa"/>
            <w:tcBorders>
              <w:top w:val="single" w:color="339669" w:sz="24" w:space="0"/>
            </w:tcBorders>
            <w:shd w:val="clear" w:color="auto" w:fill="E0F7EF"/>
            <w:tcMar>
              <w:top w:w="20" w:type="dxa"/>
              <w:left w:w="20" w:type="dxa"/>
              <w:bottom w:w="72" w:type="dxa"/>
              <w:right w:w="20" w:type="dxa"/>
            </w:tcMar>
            <w:vAlign w:val="center"/>
          </w:tcPr>
          <w:p w14:paraId="6D1B9279">
            <w:pPr>
              <w:pStyle w:val="25"/>
              <w:bidi w:val="0"/>
              <w:rPr>
                <w:highlight w:val="none"/>
              </w:rPr>
            </w:pPr>
            <w:r>
              <w:rPr>
                <w:highlight w:val="none"/>
              </w:rPr>
              <w:t>1</w:t>
            </w:r>
          </w:p>
        </w:tc>
        <w:tc>
          <w:tcPr>
            <w:tcW w:w="1400" w:type="dxa"/>
            <w:tcBorders>
              <w:top w:val="single" w:color="339669" w:sz="24" w:space="0"/>
            </w:tcBorders>
            <w:shd w:val="clear" w:color="auto" w:fill="E0F7EF"/>
            <w:tcMar>
              <w:top w:w="20" w:type="dxa"/>
              <w:left w:w="20" w:type="dxa"/>
              <w:bottom w:w="72" w:type="dxa"/>
              <w:right w:w="20" w:type="dxa"/>
            </w:tcMar>
            <w:vAlign w:val="center"/>
          </w:tcPr>
          <w:p w14:paraId="7F0F4069">
            <w:pPr>
              <w:pStyle w:val="25"/>
              <w:bidi w:val="0"/>
              <w:rPr>
                <w:highlight w:val="none"/>
              </w:rPr>
            </w:pPr>
            <w:r>
              <w:rPr>
                <w:highlight w:val="none"/>
              </w:rPr>
              <w:t>综合仓</w:t>
            </w:r>
          </w:p>
        </w:tc>
        <w:tc>
          <w:tcPr>
            <w:tcW w:w="1846" w:type="dxa"/>
            <w:tcBorders>
              <w:top w:val="single" w:color="339669" w:sz="24" w:space="0"/>
            </w:tcBorders>
            <w:shd w:val="clear" w:color="auto" w:fill="E0F7EF"/>
            <w:tcMar>
              <w:top w:w="20" w:type="dxa"/>
              <w:left w:w="20" w:type="dxa"/>
              <w:bottom w:w="72" w:type="dxa"/>
              <w:right w:w="20" w:type="dxa"/>
            </w:tcMar>
            <w:vAlign w:val="center"/>
          </w:tcPr>
          <w:p w14:paraId="78A76109">
            <w:pPr>
              <w:pStyle w:val="25"/>
              <w:bidi w:val="0"/>
              <w:rPr>
                <w:highlight w:val="none"/>
              </w:rPr>
            </w:pPr>
            <w:r>
              <w:rPr>
                <w:highlight w:val="none"/>
              </w:rPr>
              <w:t>3000</w:t>
            </w:r>
          </w:p>
        </w:tc>
        <w:tc>
          <w:tcPr>
            <w:tcW w:w="1850" w:type="dxa"/>
            <w:tcBorders>
              <w:top w:val="single" w:color="339669" w:sz="24" w:space="0"/>
            </w:tcBorders>
            <w:shd w:val="clear" w:color="auto" w:fill="E0F7EF"/>
            <w:tcMar>
              <w:top w:w="20" w:type="dxa"/>
              <w:left w:w="20" w:type="dxa"/>
              <w:bottom w:w="72" w:type="dxa"/>
              <w:right w:w="20" w:type="dxa"/>
            </w:tcMar>
            <w:vAlign w:val="center"/>
          </w:tcPr>
          <w:p w14:paraId="76D94EDA">
            <w:pPr>
              <w:pStyle w:val="25"/>
              <w:bidi w:val="0"/>
              <w:rPr>
                <w:highlight w:val="none"/>
              </w:rPr>
            </w:pPr>
            <w:r>
              <w:rPr>
                <w:highlight w:val="none"/>
              </w:rPr>
              <w:t>3000</w:t>
            </w:r>
          </w:p>
        </w:tc>
        <w:tc>
          <w:tcPr>
            <w:tcW w:w="1847" w:type="dxa"/>
            <w:tcBorders>
              <w:top w:val="single" w:color="339669" w:sz="24" w:space="0"/>
            </w:tcBorders>
            <w:shd w:val="clear" w:color="auto" w:fill="E0F7EF"/>
            <w:tcMar>
              <w:top w:w="20" w:type="dxa"/>
              <w:left w:w="20" w:type="dxa"/>
              <w:bottom w:w="72" w:type="dxa"/>
              <w:right w:w="20" w:type="dxa"/>
            </w:tcMar>
            <w:vAlign w:val="center"/>
          </w:tcPr>
          <w:p w14:paraId="2729CF81">
            <w:pPr>
              <w:pStyle w:val="25"/>
              <w:bidi w:val="0"/>
              <w:rPr>
                <w:highlight w:val="none"/>
              </w:rPr>
            </w:pPr>
            <w:r>
              <w:rPr>
                <w:highlight w:val="none"/>
              </w:rPr>
              <w:t>900</w:t>
            </w:r>
          </w:p>
        </w:tc>
      </w:tr>
      <w:tr w14:paraId="49C99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blCellSpacing w:w="0" w:type="dxa"/>
        </w:trPr>
        <w:tc>
          <w:tcPr>
            <w:tcW w:w="1400" w:type="dxa"/>
            <w:tcBorders>
              <w:top w:val="single" w:color="339669" w:sz="24" w:space="0"/>
            </w:tcBorders>
            <w:shd w:val="clear" w:color="auto" w:fill="FFFFFF"/>
            <w:tcMar>
              <w:top w:w="20" w:type="dxa"/>
              <w:left w:w="20" w:type="dxa"/>
              <w:bottom w:w="72" w:type="dxa"/>
              <w:right w:w="20" w:type="dxa"/>
            </w:tcMar>
            <w:vAlign w:val="center"/>
          </w:tcPr>
          <w:p w14:paraId="0CE18FCA">
            <w:pPr>
              <w:pStyle w:val="25"/>
              <w:bidi w:val="0"/>
              <w:rPr>
                <w:highlight w:val="none"/>
              </w:rPr>
            </w:pPr>
            <w:r>
              <w:rPr>
                <w:highlight w:val="none"/>
              </w:rPr>
              <w:t>2</w:t>
            </w:r>
          </w:p>
        </w:tc>
        <w:tc>
          <w:tcPr>
            <w:tcW w:w="1400" w:type="dxa"/>
            <w:tcBorders>
              <w:top w:val="single" w:color="339669" w:sz="24" w:space="0"/>
            </w:tcBorders>
            <w:shd w:val="clear" w:color="auto" w:fill="FFFFFF"/>
            <w:tcMar>
              <w:top w:w="20" w:type="dxa"/>
              <w:left w:w="20" w:type="dxa"/>
              <w:bottom w:w="72" w:type="dxa"/>
              <w:right w:w="20" w:type="dxa"/>
            </w:tcMar>
            <w:vAlign w:val="center"/>
          </w:tcPr>
          <w:p w14:paraId="351D6D09">
            <w:pPr>
              <w:pStyle w:val="25"/>
              <w:bidi w:val="0"/>
              <w:rPr>
                <w:highlight w:val="none"/>
              </w:rPr>
            </w:pPr>
            <w:r>
              <w:rPr>
                <w:highlight w:val="none"/>
              </w:rPr>
              <w:t>办公楼</w:t>
            </w:r>
          </w:p>
        </w:tc>
        <w:tc>
          <w:tcPr>
            <w:tcW w:w="1846" w:type="dxa"/>
            <w:tcBorders>
              <w:top w:val="single" w:color="339669" w:sz="24" w:space="0"/>
            </w:tcBorders>
            <w:shd w:val="clear" w:color="auto" w:fill="FFFFFF"/>
            <w:tcMar>
              <w:top w:w="20" w:type="dxa"/>
              <w:left w:w="20" w:type="dxa"/>
              <w:bottom w:w="72" w:type="dxa"/>
              <w:right w:w="20" w:type="dxa"/>
            </w:tcMar>
            <w:vAlign w:val="center"/>
          </w:tcPr>
          <w:p w14:paraId="51CBFC24">
            <w:pPr>
              <w:pStyle w:val="25"/>
              <w:bidi w:val="0"/>
              <w:rPr>
                <w:highlight w:val="none"/>
              </w:rPr>
            </w:pPr>
            <w:r>
              <w:rPr>
                <w:highlight w:val="none"/>
              </w:rPr>
              <w:t>1500</w:t>
            </w:r>
          </w:p>
        </w:tc>
        <w:tc>
          <w:tcPr>
            <w:tcW w:w="1850" w:type="dxa"/>
            <w:tcBorders>
              <w:top w:val="single" w:color="339669" w:sz="24" w:space="0"/>
            </w:tcBorders>
            <w:shd w:val="clear" w:color="auto" w:fill="FFFFFF"/>
            <w:tcMar>
              <w:top w:w="20" w:type="dxa"/>
              <w:left w:w="20" w:type="dxa"/>
              <w:bottom w:w="72" w:type="dxa"/>
              <w:right w:w="20" w:type="dxa"/>
            </w:tcMar>
            <w:vAlign w:val="center"/>
          </w:tcPr>
          <w:p w14:paraId="0956D634">
            <w:pPr>
              <w:pStyle w:val="25"/>
              <w:bidi w:val="0"/>
              <w:rPr>
                <w:highlight w:val="none"/>
              </w:rPr>
            </w:pPr>
            <w:r>
              <w:rPr>
                <w:highlight w:val="none"/>
              </w:rPr>
              <w:t>3000</w:t>
            </w:r>
          </w:p>
        </w:tc>
        <w:tc>
          <w:tcPr>
            <w:tcW w:w="1847" w:type="dxa"/>
            <w:tcBorders>
              <w:top w:val="single" w:color="339669" w:sz="24" w:space="0"/>
            </w:tcBorders>
            <w:shd w:val="clear" w:color="auto" w:fill="FFFFFF"/>
            <w:tcMar>
              <w:top w:w="20" w:type="dxa"/>
              <w:left w:w="20" w:type="dxa"/>
              <w:bottom w:w="72" w:type="dxa"/>
              <w:right w:w="20" w:type="dxa"/>
            </w:tcMar>
            <w:vAlign w:val="center"/>
          </w:tcPr>
          <w:p w14:paraId="0547FF38">
            <w:pPr>
              <w:pStyle w:val="25"/>
              <w:bidi w:val="0"/>
              <w:rPr>
                <w:highlight w:val="none"/>
              </w:rPr>
            </w:pPr>
            <w:r>
              <w:rPr>
                <w:highlight w:val="none"/>
              </w:rPr>
              <w:t>450</w:t>
            </w:r>
          </w:p>
        </w:tc>
      </w:tr>
      <w:tr w14:paraId="37F6B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blCellSpacing w:w="0" w:type="dxa"/>
        </w:trPr>
        <w:tc>
          <w:tcPr>
            <w:tcW w:w="1400" w:type="dxa"/>
            <w:tcBorders>
              <w:top w:val="single" w:color="339669" w:sz="24" w:space="0"/>
            </w:tcBorders>
            <w:shd w:val="clear" w:color="auto" w:fill="E0F7EF"/>
            <w:tcMar>
              <w:top w:w="20" w:type="dxa"/>
              <w:left w:w="20" w:type="dxa"/>
              <w:bottom w:w="72" w:type="dxa"/>
              <w:right w:w="20" w:type="dxa"/>
            </w:tcMar>
            <w:vAlign w:val="center"/>
          </w:tcPr>
          <w:p w14:paraId="035544CD">
            <w:pPr>
              <w:pStyle w:val="25"/>
              <w:bidi w:val="0"/>
              <w:rPr>
                <w:highlight w:val="none"/>
              </w:rPr>
            </w:pPr>
            <w:r>
              <w:rPr>
                <w:highlight w:val="none"/>
              </w:rPr>
              <w:t>3</w:t>
            </w:r>
          </w:p>
        </w:tc>
        <w:tc>
          <w:tcPr>
            <w:tcW w:w="1400" w:type="dxa"/>
            <w:tcBorders>
              <w:top w:val="single" w:color="339669" w:sz="24" w:space="0"/>
            </w:tcBorders>
            <w:shd w:val="clear" w:color="auto" w:fill="E0F7EF"/>
            <w:tcMar>
              <w:top w:w="20" w:type="dxa"/>
              <w:left w:w="20" w:type="dxa"/>
              <w:bottom w:w="72" w:type="dxa"/>
              <w:right w:w="20" w:type="dxa"/>
            </w:tcMar>
            <w:vAlign w:val="center"/>
          </w:tcPr>
          <w:p w14:paraId="72266637">
            <w:pPr>
              <w:pStyle w:val="25"/>
              <w:bidi w:val="0"/>
              <w:rPr>
                <w:highlight w:val="none"/>
              </w:rPr>
            </w:pPr>
            <w:r>
              <w:rPr>
                <w:highlight w:val="none"/>
              </w:rPr>
              <w:t>改造</w:t>
            </w:r>
          </w:p>
        </w:tc>
        <w:tc>
          <w:tcPr>
            <w:tcW w:w="1846" w:type="dxa"/>
            <w:tcBorders>
              <w:top w:val="single" w:color="339669" w:sz="24" w:space="0"/>
            </w:tcBorders>
            <w:shd w:val="clear" w:color="auto" w:fill="E0F7EF"/>
            <w:tcMar>
              <w:top w:w="20" w:type="dxa"/>
              <w:left w:w="20" w:type="dxa"/>
              <w:bottom w:w="72" w:type="dxa"/>
              <w:right w:w="20" w:type="dxa"/>
            </w:tcMar>
            <w:vAlign w:val="center"/>
          </w:tcPr>
          <w:p w14:paraId="54AE2C6B">
            <w:pPr>
              <w:pStyle w:val="25"/>
              <w:bidi w:val="0"/>
              <w:rPr>
                <w:highlight w:val="none"/>
              </w:rPr>
            </w:pPr>
            <w:r>
              <w:rPr>
                <w:highlight w:val="none"/>
              </w:rPr>
              <w:t>2000</w:t>
            </w:r>
          </w:p>
        </w:tc>
        <w:tc>
          <w:tcPr>
            <w:tcW w:w="1850" w:type="dxa"/>
            <w:tcBorders>
              <w:top w:val="single" w:color="339669" w:sz="24" w:space="0"/>
            </w:tcBorders>
            <w:shd w:val="clear" w:color="auto" w:fill="E0F7EF"/>
            <w:tcMar>
              <w:top w:w="20" w:type="dxa"/>
              <w:left w:w="20" w:type="dxa"/>
              <w:bottom w:w="72" w:type="dxa"/>
              <w:right w:w="20" w:type="dxa"/>
            </w:tcMar>
            <w:vAlign w:val="center"/>
          </w:tcPr>
          <w:p w14:paraId="1B259FC4">
            <w:pPr>
              <w:pStyle w:val="25"/>
              <w:bidi w:val="0"/>
              <w:rPr>
                <w:highlight w:val="none"/>
              </w:rPr>
            </w:pPr>
            <w:r>
              <w:rPr>
                <w:highlight w:val="none"/>
              </w:rPr>
              <w:t>1000</w:t>
            </w:r>
          </w:p>
        </w:tc>
        <w:tc>
          <w:tcPr>
            <w:tcW w:w="1847" w:type="dxa"/>
            <w:tcBorders>
              <w:top w:val="single" w:color="339669" w:sz="24" w:space="0"/>
            </w:tcBorders>
            <w:shd w:val="clear" w:color="auto" w:fill="E0F7EF"/>
            <w:tcMar>
              <w:top w:w="20" w:type="dxa"/>
              <w:left w:w="20" w:type="dxa"/>
              <w:bottom w:w="72" w:type="dxa"/>
              <w:right w:w="20" w:type="dxa"/>
            </w:tcMar>
            <w:vAlign w:val="center"/>
          </w:tcPr>
          <w:p w14:paraId="6AAD6BA5">
            <w:pPr>
              <w:pStyle w:val="25"/>
              <w:bidi w:val="0"/>
              <w:rPr>
                <w:highlight w:val="none"/>
              </w:rPr>
            </w:pPr>
            <w:r>
              <w:rPr>
                <w:highlight w:val="none"/>
              </w:rPr>
              <w:t>200</w:t>
            </w:r>
          </w:p>
        </w:tc>
      </w:tr>
      <w:tr w14:paraId="24E15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blCellSpacing w:w="0" w:type="dxa"/>
        </w:trPr>
        <w:tc>
          <w:tcPr>
            <w:tcW w:w="1400" w:type="dxa"/>
            <w:tcBorders>
              <w:top w:val="single" w:color="339669" w:sz="24" w:space="0"/>
            </w:tcBorders>
            <w:shd w:val="clear" w:color="auto" w:fill="FFFFFF"/>
            <w:tcMar>
              <w:top w:w="20" w:type="dxa"/>
              <w:left w:w="20" w:type="dxa"/>
              <w:bottom w:w="72" w:type="dxa"/>
              <w:right w:w="20" w:type="dxa"/>
            </w:tcMar>
            <w:vAlign w:val="center"/>
          </w:tcPr>
          <w:p w14:paraId="1C0023CF">
            <w:pPr>
              <w:pStyle w:val="25"/>
              <w:bidi w:val="0"/>
              <w:rPr>
                <w:highlight w:val="none"/>
              </w:rPr>
            </w:pPr>
            <w:r>
              <w:rPr>
                <w:highlight w:val="none"/>
              </w:rPr>
              <w:t>4</w:t>
            </w:r>
          </w:p>
        </w:tc>
        <w:tc>
          <w:tcPr>
            <w:tcW w:w="1400" w:type="dxa"/>
            <w:tcBorders>
              <w:top w:val="single" w:color="339669" w:sz="24" w:space="0"/>
            </w:tcBorders>
            <w:shd w:val="clear" w:color="auto" w:fill="FFFFFF"/>
            <w:tcMar>
              <w:top w:w="20" w:type="dxa"/>
              <w:left w:w="20" w:type="dxa"/>
              <w:bottom w:w="72" w:type="dxa"/>
              <w:right w:w="20" w:type="dxa"/>
            </w:tcMar>
            <w:vAlign w:val="center"/>
          </w:tcPr>
          <w:p w14:paraId="5B31B60B">
            <w:pPr>
              <w:pStyle w:val="25"/>
              <w:bidi w:val="0"/>
              <w:rPr>
                <w:highlight w:val="none"/>
              </w:rPr>
            </w:pPr>
            <w:r>
              <w:rPr>
                <w:highlight w:val="none"/>
              </w:rPr>
              <w:t>绿化、美化</w:t>
            </w:r>
          </w:p>
        </w:tc>
        <w:tc>
          <w:tcPr>
            <w:tcW w:w="1846" w:type="dxa"/>
            <w:tcBorders>
              <w:top w:val="single" w:color="339669" w:sz="24" w:space="0"/>
            </w:tcBorders>
            <w:shd w:val="clear" w:color="auto" w:fill="FFFFFF"/>
            <w:tcMar>
              <w:top w:w="20" w:type="dxa"/>
              <w:left w:w="20" w:type="dxa"/>
              <w:bottom w:w="72" w:type="dxa"/>
              <w:right w:w="20" w:type="dxa"/>
            </w:tcMar>
            <w:vAlign w:val="center"/>
          </w:tcPr>
          <w:p w14:paraId="60206B98">
            <w:pPr>
              <w:pStyle w:val="25"/>
              <w:bidi w:val="0"/>
              <w:rPr>
                <w:highlight w:val="none"/>
              </w:rPr>
            </w:pPr>
            <w:r>
              <w:rPr>
                <w:highlight w:val="none"/>
              </w:rPr>
              <w:t>4000</w:t>
            </w:r>
          </w:p>
        </w:tc>
        <w:tc>
          <w:tcPr>
            <w:tcW w:w="1850" w:type="dxa"/>
            <w:tcBorders>
              <w:top w:val="single" w:color="339669" w:sz="24" w:space="0"/>
            </w:tcBorders>
            <w:shd w:val="clear" w:color="auto" w:fill="FFFFFF"/>
            <w:tcMar>
              <w:top w:w="20" w:type="dxa"/>
              <w:left w:w="20" w:type="dxa"/>
              <w:bottom w:w="72" w:type="dxa"/>
              <w:right w:w="20" w:type="dxa"/>
            </w:tcMar>
            <w:vAlign w:val="center"/>
          </w:tcPr>
          <w:p w14:paraId="79E9DBC4">
            <w:pPr>
              <w:pStyle w:val="25"/>
              <w:bidi w:val="0"/>
              <w:rPr>
                <w:highlight w:val="none"/>
              </w:rPr>
            </w:pPr>
            <w:r>
              <w:rPr>
                <w:highlight w:val="none"/>
              </w:rPr>
              <w:t>300</w:t>
            </w:r>
          </w:p>
        </w:tc>
        <w:tc>
          <w:tcPr>
            <w:tcW w:w="1847" w:type="dxa"/>
            <w:tcBorders>
              <w:top w:val="single" w:color="339669" w:sz="24" w:space="0"/>
            </w:tcBorders>
            <w:shd w:val="clear" w:color="auto" w:fill="FFFFFF"/>
            <w:tcMar>
              <w:top w:w="20" w:type="dxa"/>
              <w:left w:w="20" w:type="dxa"/>
              <w:bottom w:w="72" w:type="dxa"/>
              <w:right w:w="20" w:type="dxa"/>
            </w:tcMar>
            <w:vAlign w:val="center"/>
          </w:tcPr>
          <w:p w14:paraId="7DBB2C1E">
            <w:pPr>
              <w:pStyle w:val="25"/>
              <w:bidi w:val="0"/>
              <w:rPr>
                <w:highlight w:val="none"/>
              </w:rPr>
            </w:pPr>
            <w:r>
              <w:rPr>
                <w:highlight w:val="none"/>
              </w:rPr>
              <w:t>120</w:t>
            </w:r>
          </w:p>
        </w:tc>
      </w:tr>
      <w:tr w14:paraId="0950D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blCellSpacing w:w="0" w:type="dxa"/>
        </w:trPr>
        <w:tc>
          <w:tcPr>
            <w:tcW w:w="1400" w:type="dxa"/>
            <w:tcBorders>
              <w:top w:val="single" w:color="339669" w:sz="24" w:space="0"/>
            </w:tcBorders>
            <w:shd w:val="clear" w:color="auto" w:fill="E0F7EF"/>
            <w:tcMar>
              <w:top w:w="20" w:type="dxa"/>
              <w:left w:w="20" w:type="dxa"/>
              <w:bottom w:w="72" w:type="dxa"/>
              <w:right w:w="20" w:type="dxa"/>
            </w:tcMar>
            <w:vAlign w:val="center"/>
          </w:tcPr>
          <w:p w14:paraId="3DAE5BB0">
            <w:pPr>
              <w:pStyle w:val="25"/>
              <w:bidi w:val="0"/>
              <w:rPr>
                <w:highlight w:val="none"/>
              </w:rPr>
            </w:pPr>
            <w:r>
              <w:rPr>
                <w:highlight w:val="none"/>
              </w:rPr>
              <w:t>小计</w:t>
            </w:r>
          </w:p>
        </w:tc>
        <w:tc>
          <w:tcPr>
            <w:tcW w:w="5096" w:type="dxa"/>
            <w:gridSpan w:val="3"/>
            <w:tcBorders>
              <w:top w:val="single" w:color="339669" w:sz="24" w:space="0"/>
            </w:tcBorders>
            <w:shd w:val="clear" w:color="auto" w:fill="E0F7EF"/>
            <w:tcMar>
              <w:top w:w="20" w:type="dxa"/>
              <w:left w:w="20" w:type="dxa"/>
              <w:bottom w:w="72" w:type="dxa"/>
              <w:right w:w="20" w:type="dxa"/>
            </w:tcMar>
            <w:vAlign w:val="center"/>
          </w:tcPr>
          <w:p w14:paraId="2D9A29B6">
            <w:pPr>
              <w:pStyle w:val="25"/>
              <w:bidi w:val="0"/>
              <w:rPr>
                <w:highlight w:val="none"/>
              </w:rPr>
            </w:pPr>
          </w:p>
        </w:tc>
        <w:tc>
          <w:tcPr>
            <w:tcW w:w="1847" w:type="dxa"/>
            <w:tcBorders>
              <w:top w:val="single" w:color="339669" w:sz="24" w:space="0"/>
            </w:tcBorders>
            <w:shd w:val="clear" w:color="auto" w:fill="E0F7EF"/>
            <w:tcMar>
              <w:top w:w="20" w:type="dxa"/>
              <w:left w:w="20" w:type="dxa"/>
              <w:bottom w:w="72" w:type="dxa"/>
              <w:right w:w="20" w:type="dxa"/>
            </w:tcMar>
            <w:vAlign w:val="center"/>
          </w:tcPr>
          <w:p w14:paraId="5FA66206">
            <w:pPr>
              <w:pStyle w:val="25"/>
              <w:bidi w:val="0"/>
              <w:rPr>
                <w:highlight w:val="none"/>
              </w:rPr>
            </w:pPr>
            <w:r>
              <w:rPr>
                <w:highlight w:val="none"/>
              </w:rPr>
              <w:t>1670</w:t>
            </w:r>
          </w:p>
        </w:tc>
      </w:tr>
    </w:tbl>
    <w:p w14:paraId="6C3C0560">
      <w:pPr>
        <w:pStyle w:val="24"/>
        <w:bidi w:val="0"/>
        <w:rPr>
          <w:highlight w:val="none"/>
        </w:rPr>
      </w:pPr>
      <w:r>
        <w:rPr>
          <w:highlight w:val="none"/>
        </w:rPr>
        <w:drawing>
          <wp:inline distT="0" distB="0" distL="114300" distR="114300">
            <wp:extent cx="5264785" cy="3618865"/>
            <wp:effectExtent l="0" t="0" r="12065" b="635"/>
            <wp:docPr id="34" name="图片 7" descr="三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descr="三期"/>
                    <pic:cNvPicPr>
                      <a:picLocks noChangeAspect="1"/>
                    </pic:cNvPicPr>
                  </pic:nvPicPr>
                  <pic:blipFill>
                    <a:blip r:embed="rId40"/>
                    <a:srcRect l="6483" t="7843" r="6483" b="7574"/>
                    <a:stretch>
                      <a:fillRect/>
                    </a:stretch>
                  </pic:blipFill>
                  <pic:spPr>
                    <a:xfrm>
                      <a:off x="0" y="0"/>
                      <a:ext cx="5264785" cy="3618865"/>
                    </a:xfrm>
                    <a:prstGeom prst="rect">
                      <a:avLst/>
                    </a:prstGeom>
                  </pic:spPr>
                </pic:pic>
              </a:graphicData>
            </a:graphic>
          </wp:inline>
        </w:drawing>
      </w:r>
    </w:p>
    <w:p w14:paraId="3808A694">
      <w:pPr>
        <w:pStyle w:val="11"/>
        <w:bidi w:val="0"/>
        <w:rPr>
          <w:rFonts w:hint="eastAsia"/>
          <w:highlight w:val="none"/>
          <w:lang w:val="en-US" w:eastAsia="zh-CN"/>
        </w:rPr>
      </w:pPr>
      <w:r>
        <w:t xml:space="preserve">图 </w:t>
      </w:r>
      <w:r>
        <w:fldChar w:fldCharType="begin"/>
      </w:r>
      <w:r>
        <w:instrText xml:space="preserve"> STYLEREF 1 \s </w:instrText>
      </w:r>
      <w:r>
        <w:fldChar w:fldCharType="separate"/>
      </w:r>
      <w:r>
        <w:t>6</w:t>
      </w:r>
      <w:r>
        <w:fldChar w:fldCharType="end"/>
      </w:r>
      <w:r>
        <w:rPr>
          <w:rFonts w:hint="eastAsia"/>
          <w:lang w:eastAsia="zh-CN"/>
        </w:rPr>
        <w:t>-</w:t>
      </w:r>
      <w:r>
        <w:fldChar w:fldCharType="begin"/>
      </w:r>
      <w:r>
        <w:instrText xml:space="preserve"> SEQ 图 \* ARABIC \s 1 </w:instrText>
      </w:r>
      <w:r>
        <w:fldChar w:fldCharType="separate"/>
      </w:r>
      <w:r>
        <w:t>7</w:t>
      </w:r>
      <w:r>
        <w:fldChar w:fldCharType="end"/>
      </w:r>
      <w:r>
        <w:rPr>
          <w:rFonts w:hint="eastAsia"/>
          <w:lang w:val="en-US" w:eastAsia="zh-CN"/>
        </w:rPr>
        <w:t xml:space="preserve"> </w:t>
      </w:r>
      <w:r>
        <w:rPr>
          <w:rFonts w:hint="eastAsia"/>
          <w:highlight w:val="none"/>
          <w:lang w:val="en-US" w:eastAsia="zh-CN"/>
        </w:rPr>
        <w:t>三期建设内容图</w:t>
      </w:r>
    </w:p>
    <w:p w14:paraId="5343B2F8">
      <w:pPr>
        <w:bidi w:val="0"/>
        <w:rPr>
          <w:rFonts w:hint="eastAsia"/>
          <w:lang w:val="en-US" w:eastAsia="zh-CN"/>
        </w:rPr>
      </w:pPr>
      <w:r>
        <w:rPr>
          <w:rFonts w:hint="eastAsia"/>
          <w:lang w:val="en-US" w:eastAsia="zh-CN"/>
        </w:rPr>
        <w:t>4、未来建设计划</w:t>
      </w:r>
    </w:p>
    <w:p w14:paraId="0A996608">
      <w:pPr>
        <w:bidi w:val="0"/>
        <w:rPr>
          <w:rFonts w:hint="eastAsia"/>
          <w:highlight w:val="none"/>
          <w:lang w:val="en-US" w:eastAsia="zh-CN"/>
        </w:rPr>
      </w:pPr>
      <w:r>
        <w:rPr>
          <w:rFonts w:hint="eastAsia"/>
          <w:highlight w:val="none"/>
          <w:lang w:val="en-US" w:eastAsia="zh-CN"/>
        </w:rPr>
        <w:t>远期对现有未拆迁房屋进行统一征收规划，统一建设洗、修车间、光储充一体充电站、客房以及智能化仓储、冷库用房，预计实现全部物流园区功能及城市驿站功能需要总投资3亿元。</w:t>
      </w:r>
    </w:p>
    <w:p w14:paraId="7CAB40A2">
      <w:pPr>
        <w:pStyle w:val="4"/>
        <w:bidi w:val="0"/>
        <w:rPr>
          <w:highlight w:val="none"/>
        </w:rPr>
      </w:pPr>
      <w:r>
        <w:rPr>
          <w:rFonts w:hint="eastAsia"/>
          <w:highlight w:val="none"/>
          <w:lang w:val="en-US" w:eastAsia="zh-CN"/>
        </w:rPr>
        <w:t>乡镇、村物流体系建设计划</w:t>
      </w:r>
    </w:p>
    <w:p w14:paraId="728CA525">
      <w:pPr>
        <w:bidi w:val="0"/>
        <w:rPr>
          <w:rFonts w:hint="eastAsia"/>
          <w:bCs/>
          <w:lang w:val="en-US" w:eastAsia="zh-CN"/>
        </w:rPr>
      </w:pPr>
      <w:r>
        <w:rPr>
          <w:rFonts w:hint="eastAsia"/>
          <w:bCs/>
          <w:lang w:val="en-US" w:eastAsia="zh-CN"/>
        </w:rPr>
        <w:t>县</w:t>
      </w:r>
      <w:r>
        <w:rPr>
          <w:rFonts w:hint="eastAsia"/>
          <w:bCs/>
        </w:rPr>
        <w:t>域建成与农村居民生活相匹配、与</w:t>
      </w:r>
      <w:r>
        <w:rPr>
          <w:rFonts w:hint="eastAsia"/>
          <w:bCs/>
          <w:lang w:val="en-US" w:eastAsia="zh-CN"/>
        </w:rPr>
        <w:t>彰武</w:t>
      </w:r>
      <w:r>
        <w:rPr>
          <w:bCs/>
        </w:rPr>
        <w:t>农业发展</w:t>
      </w:r>
      <w:r>
        <w:rPr>
          <w:rFonts w:hint="eastAsia"/>
          <w:bCs/>
        </w:rPr>
        <w:t>格局</w:t>
      </w:r>
      <w:r>
        <w:rPr>
          <w:bCs/>
        </w:rPr>
        <w:t>相匹配、与现代流通方式相匹配，布局合理、高效畅通、特色突出、管理现代的农村物流服务体系。</w:t>
      </w:r>
      <w:r>
        <w:rPr>
          <w:rFonts w:hint="eastAsia"/>
          <w:bCs/>
        </w:rPr>
        <w:t>主要包括：</w:t>
      </w:r>
      <w:r>
        <w:rPr>
          <w:bCs/>
        </w:rPr>
        <w:t>依托</w:t>
      </w:r>
      <w:r>
        <w:rPr>
          <w:rFonts w:hint="eastAsia"/>
          <w:bCs/>
          <w:lang w:val="en-US" w:eastAsia="zh-CN"/>
        </w:rPr>
        <w:t>彰武</w:t>
      </w:r>
      <w:r>
        <w:rPr>
          <w:bCs/>
        </w:rPr>
        <w:t>各</w:t>
      </w:r>
      <w:r>
        <w:rPr>
          <w:rFonts w:hint="eastAsia"/>
          <w:bCs/>
        </w:rPr>
        <w:t>镇</w:t>
      </w:r>
      <w:r>
        <w:rPr>
          <w:bCs/>
        </w:rPr>
        <w:t>特色农产品，盘活、新建一批农村物流重要节点</w:t>
      </w:r>
      <w:r>
        <w:rPr>
          <w:rFonts w:hint="eastAsia"/>
          <w:bCs/>
        </w:rPr>
        <w:t>，完善</w:t>
      </w:r>
      <w:r>
        <w:rPr>
          <w:rFonts w:hint="eastAsia"/>
          <w:bCs/>
          <w:lang w:val="en-US" w:eastAsia="zh-CN"/>
        </w:rPr>
        <w:t>彰武</w:t>
      </w:r>
      <w:r>
        <w:rPr>
          <w:bCs/>
        </w:rPr>
        <w:t>农村物流网络体系</w:t>
      </w:r>
      <w:r>
        <w:rPr>
          <w:rFonts w:hint="eastAsia"/>
          <w:bCs/>
        </w:rPr>
        <w:t>；提升</w:t>
      </w:r>
      <w:r>
        <w:rPr>
          <w:rFonts w:hint="eastAsia"/>
          <w:bCs/>
          <w:lang w:val="en-US" w:eastAsia="zh-CN"/>
        </w:rPr>
        <w:t>彰武</w:t>
      </w:r>
      <w:r>
        <w:rPr>
          <w:bCs/>
        </w:rPr>
        <w:t>农村物流整体运行效率</w:t>
      </w:r>
      <w:r>
        <w:rPr>
          <w:rFonts w:hint="eastAsia"/>
          <w:bCs/>
        </w:rPr>
        <w:t>，减少</w:t>
      </w:r>
      <w:r>
        <w:rPr>
          <w:bCs/>
        </w:rPr>
        <w:t>农产品</w:t>
      </w:r>
      <w:r>
        <w:rPr>
          <w:rFonts w:hint="eastAsia"/>
          <w:bCs/>
        </w:rPr>
        <w:t>运输</w:t>
      </w:r>
      <w:r>
        <w:rPr>
          <w:bCs/>
        </w:rPr>
        <w:t>损耗率</w:t>
      </w:r>
      <w:r>
        <w:rPr>
          <w:rFonts w:hint="eastAsia"/>
          <w:bCs/>
        </w:rPr>
        <w:t>；</w:t>
      </w:r>
      <w:r>
        <w:rPr>
          <w:bCs/>
        </w:rPr>
        <w:t>推动农村物流经营主体运营规模化</w:t>
      </w:r>
      <w:r>
        <w:rPr>
          <w:rFonts w:hint="eastAsia"/>
          <w:bCs/>
        </w:rPr>
        <w:t>，</w:t>
      </w:r>
      <w:r>
        <w:rPr>
          <w:bCs/>
        </w:rPr>
        <w:t>培育农村物流龙头企业</w:t>
      </w:r>
      <w:r>
        <w:rPr>
          <w:rFonts w:hint="eastAsia"/>
          <w:bCs/>
        </w:rPr>
        <w:t>；提升</w:t>
      </w:r>
      <w:r>
        <w:rPr>
          <w:rFonts w:hint="eastAsia"/>
          <w:bCs/>
          <w:lang w:val="en-US" w:eastAsia="zh-CN"/>
        </w:rPr>
        <w:t>彰武</w:t>
      </w:r>
      <w:r>
        <w:rPr>
          <w:bCs/>
        </w:rPr>
        <w:t>农村物流信息化水平</w:t>
      </w:r>
      <w:r>
        <w:rPr>
          <w:rFonts w:hint="eastAsia"/>
          <w:bCs/>
        </w:rPr>
        <w:t>，</w:t>
      </w:r>
      <w:r>
        <w:rPr>
          <w:bCs/>
        </w:rPr>
        <w:t>支持农村物流信息化平台发展，推动实现车货有效</w:t>
      </w:r>
      <w:r>
        <w:rPr>
          <w:rFonts w:hint="eastAsia"/>
          <w:bCs/>
          <w:lang w:val="en-US" w:eastAsia="zh-CN"/>
        </w:rPr>
        <w:t>匹配。</w:t>
      </w:r>
    </w:p>
    <w:p w14:paraId="4C844F85">
      <w:pPr>
        <w:bidi w:val="0"/>
        <w:rPr>
          <w:rFonts w:hint="default"/>
          <w:b/>
          <w:bCs w:val="0"/>
          <w:lang w:val="en-US" w:eastAsia="zh-CN"/>
        </w:rPr>
      </w:pPr>
      <w:r>
        <w:rPr>
          <w:rFonts w:hint="eastAsia"/>
          <w:b/>
          <w:bCs w:val="0"/>
          <w:lang w:val="en-US" w:eastAsia="zh-CN"/>
        </w:rPr>
        <w:t>彰武县乡镇、村物流体系建设主要包含以下内容：</w:t>
      </w:r>
    </w:p>
    <w:p w14:paraId="0EC85CBB">
      <w:pPr>
        <w:bidi w:val="0"/>
        <w:rPr>
          <w:rFonts w:hint="eastAsia"/>
          <w:bCs/>
        </w:rPr>
      </w:pPr>
      <w:bookmarkStart w:id="131" w:name="_Toc27953906"/>
      <w:r>
        <w:rPr>
          <w:rFonts w:hint="eastAsia"/>
          <w:bCs/>
        </w:rPr>
        <w:t>（一）积极发展镇村两级物流服务能力</w:t>
      </w:r>
      <w:bookmarkEnd w:id="131"/>
    </w:p>
    <w:p w14:paraId="56CD0914">
      <w:pPr>
        <w:bidi w:val="0"/>
        <w:rPr>
          <w:rFonts w:hint="eastAsia"/>
          <w:bCs/>
        </w:rPr>
      </w:pPr>
      <w:r>
        <w:rPr>
          <w:rFonts w:hint="eastAsia"/>
          <w:bCs/>
        </w:rPr>
        <w:t>对接</w:t>
      </w:r>
      <w:r>
        <w:rPr>
          <w:rFonts w:hint="eastAsia"/>
          <w:bCs/>
          <w:lang w:val="en-US" w:eastAsia="zh-CN"/>
        </w:rPr>
        <w:t>彰武县</w:t>
      </w:r>
      <w:r>
        <w:rPr>
          <w:rFonts w:hint="eastAsia"/>
          <w:bCs/>
        </w:rPr>
        <w:t>农业发展格局，着眼</w:t>
      </w:r>
      <w:r>
        <w:rPr>
          <w:rFonts w:hint="eastAsia"/>
          <w:bCs/>
          <w:lang w:val="en-US" w:eastAsia="zh-CN"/>
        </w:rPr>
        <w:t>彰武县</w:t>
      </w:r>
      <w:r>
        <w:rPr>
          <w:rFonts w:hint="eastAsia"/>
          <w:bCs/>
        </w:rPr>
        <w:t>粮油、蔬菜、</w:t>
      </w:r>
      <w:r>
        <w:rPr>
          <w:rFonts w:hint="eastAsia"/>
          <w:bCs/>
          <w:lang w:val="en-US" w:eastAsia="zh-CN"/>
        </w:rPr>
        <w:t>肉蛋奶</w:t>
      </w:r>
      <w:r>
        <w:rPr>
          <w:rFonts w:hint="eastAsia"/>
          <w:bCs/>
        </w:rPr>
        <w:t>、水果调入和</w:t>
      </w:r>
      <w:r>
        <w:rPr>
          <w:rFonts w:hint="eastAsia"/>
          <w:bCs/>
          <w:lang w:val="en-US" w:eastAsia="zh-CN"/>
        </w:rPr>
        <w:t>县</w:t>
      </w:r>
      <w:r>
        <w:rPr>
          <w:rFonts w:hint="eastAsia"/>
          <w:bCs/>
        </w:rPr>
        <w:t>域</w:t>
      </w:r>
      <w:r>
        <w:rPr>
          <w:rFonts w:hint="eastAsia"/>
          <w:bCs/>
          <w:lang w:eastAsia="zh-CN"/>
        </w:rPr>
        <w:t>、</w:t>
      </w:r>
      <w:r>
        <w:rPr>
          <w:rFonts w:hint="eastAsia"/>
          <w:bCs/>
          <w:lang w:val="en-US" w:eastAsia="zh-CN"/>
        </w:rPr>
        <w:t>市域、省域</w:t>
      </w:r>
      <w:r>
        <w:rPr>
          <w:rFonts w:hint="eastAsia"/>
          <w:bCs/>
        </w:rPr>
        <w:t>流通需要，在各镇（街）主要交通节点建设一批农产品</w:t>
      </w:r>
      <w:r>
        <w:rPr>
          <w:rFonts w:hint="eastAsia"/>
          <w:bCs/>
          <w:lang w:val="en-US" w:eastAsia="zh-CN"/>
        </w:rPr>
        <w:t>配送</w:t>
      </w:r>
      <w:r>
        <w:rPr>
          <w:rFonts w:hint="eastAsia"/>
          <w:bCs/>
        </w:rPr>
        <w:t>中心，在各行政村建立农村物流综合服务点，形成农副产品的两级疏运和流通网络；依托特色</w:t>
      </w:r>
      <w:r>
        <w:rPr>
          <w:rFonts w:hint="eastAsia"/>
          <w:bCs/>
          <w:lang w:val="en-US" w:eastAsia="zh-CN"/>
        </w:rPr>
        <w:t>果蔬</w:t>
      </w:r>
      <w:r>
        <w:rPr>
          <w:rFonts w:hint="eastAsia"/>
          <w:bCs/>
        </w:rPr>
        <w:t>主产区，建设一批特色农产品</w:t>
      </w:r>
      <w:r>
        <w:rPr>
          <w:rFonts w:hint="eastAsia"/>
          <w:bCs/>
          <w:lang w:val="en-US" w:eastAsia="zh-CN"/>
        </w:rPr>
        <w:t>配送</w:t>
      </w:r>
      <w:r>
        <w:rPr>
          <w:rFonts w:hint="eastAsia"/>
          <w:bCs/>
        </w:rPr>
        <w:t>中心，并整合各类商贸流通市场、干线物流、快递物流、农资配送等资源，拓展集散功能，形成上接镇（街）、下联村的中间物流节点，提升特色农副产品外运和内销的物流服务能力；加强以农村货运站为主体的农村物流基础设施建设，建设一批农村快递投递点和村邮站等，逐步完善农村配送网络；积极挖掘</w:t>
      </w:r>
      <w:r>
        <w:rPr>
          <w:rFonts w:hint="eastAsia"/>
          <w:bCs/>
          <w:lang w:val="en-US" w:eastAsia="zh-CN"/>
        </w:rPr>
        <w:t>彰武</w:t>
      </w:r>
      <w:r>
        <w:rPr>
          <w:rFonts w:hint="eastAsia"/>
          <w:bCs/>
        </w:rPr>
        <w:t>农村物流服务</w:t>
      </w:r>
      <w:r>
        <w:rPr>
          <w:rFonts w:hint="eastAsia"/>
          <w:bCs/>
          <w:lang w:val="en-US" w:eastAsia="zh-CN"/>
        </w:rPr>
        <w:t>辽宁省</w:t>
      </w:r>
      <w:r>
        <w:rPr>
          <w:rFonts w:hint="eastAsia"/>
          <w:bCs/>
        </w:rPr>
        <w:t>的潜力，打造</w:t>
      </w:r>
      <w:r>
        <w:rPr>
          <w:rFonts w:hint="eastAsia"/>
          <w:bCs/>
          <w:lang w:val="en-US" w:eastAsia="zh-CN"/>
        </w:rPr>
        <w:t>辽西北</w:t>
      </w:r>
      <w:r>
        <w:rPr>
          <w:rFonts w:hint="eastAsia"/>
          <w:bCs/>
        </w:rPr>
        <w:t>农副产品分拨中心。</w:t>
      </w:r>
    </w:p>
    <w:p w14:paraId="4277CA6F">
      <w:pPr>
        <w:bidi w:val="0"/>
        <w:rPr>
          <w:rFonts w:hint="eastAsia"/>
          <w:bCs/>
        </w:rPr>
      </w:pPr>
      <w:bookmarkStart w:id="132" w:name="_Toc27953907"/>
      <w:r>
        <w:rPr>
          <w:rFonts w:hint="eastAsia"/>
          <w:bCs/>
        </w:rPr>
        <w:t>（二）大力推进农村物流通道建设</w:t>
      </w:r>
      <w:bookmarkEnd w:id="132"/>
    </w:p>
    <w:p w14:paraId="0453E495">
      <w:pPr>
        <w:bidi w:val="0"/>
        <w:rPr>
          <w:rFonts w:hint="eastAsia"/>
          <w:bCs/>
        </w:rPr>
      </w:pPr>
      <w:r>
        <w:rPr>
          <w:rFonts w:hint="eastAsia"/>
          <w:bCs/>
        </w:rPr>
        <w:t>拓宽改造与提档升级</w:t>
      </w:r>
      <w:r>
        <w:rPr>
          <w:rFonts w:hint="eastAsia"/>
          <w:bCs/>
          <w:lang w:val="en-US" w:eastAsia="zh-CN"/>
        </w:rPr>
        <w:t>彰武县</w:t>
      </w:r>
      <w:r>
        <w:rPr>
          <w:rFonts w:hint="eastAsia"/>
          <w:bCs/>
        </w:rPr>
        <w:t>农村主干道公路，提高农村路网通达率，增加农村公路总里程，拓宽农村物流建设半径。对部分现有基础设施，减免租借费用，继续深入贯彻国家鲜活农产品物流“绿色通道”发展政策，</w:t>
      </w:r>
      <w:r>
        <w:rPr>
          <w:rFonts w:hint="eastAsia"/>
          <w:bCs/>
          <w:lang w:val="en-US" w:eastAsia="zh-CN"/>
        </w:rPr>
        <w:t>降低农产品物流成本</w:t>
      </w:r>
      <w:r>
        <w:rPr>
          <w:rFonts w:hint="eastAsia"/>
          <w:bCs/>
        </w:rPr>
        <w:t>。</w:t>
      </w:r>
    </w:p>
    <w:p w14:paraId="1A0C1EE4">
      <w:pPr>
        <w:bidi w:val="0"/>
        <w:rPr>
          <w:rFonts w:hint="eastAsia"/>
          <w:bCs/>
        </w:rPr>
      </w:pPr>
      <w:bookmarkStart w:id="133" w:name="_Toc27953908"/>
      <w:r>
        <w:rPr>
          <w:rFonts w:hint="eastAsia"/>
          <w:bCs/>
        </w:rPr>
        <w:t>（三）加快农村物流信息平台建设</w:t>
      </w:r>
      <w:bookmarkEnd w:id="133"/>
    </w:p>
    <w:p w14:paraId="10D73BDA">
      <w:pPr>
        <w:bidi w:val="0"/>
        <w:rPr>
          <w:rFonts w:hint="eastAsia"/>
          <w:bCs/>
        </w:rPr>
      </w:pPr>
      <w:r>
        <w:rPr>
          <w:rFonts w:hint="eastAsia"/>
          <w:bCs/>
        </w:rPr>
        <w:t>按照“政府支持、企业主导”的运作模式，鼓励和支持有较强实力的物流企业开发建设</w:t>
      </w:r>
      <w:r>
        <w:rPr>
          <w:rFonts w:hint="eastAsia"/>
          <w:bCs/>
          <w:lang w:val="en-US" w:eastAsia="zh-CN"/>
        </w:rPr>
        <w:t>彰武县</w:t>
      </w:r>
      <w:r>
        <w:rPr>
          <w:rFonts w:hint="eastAsia"/>
          <w:bCs/>
        </w:rPr>
        <w:t>农村物流综合信息服务平台</w:t>
      </w:r>
      <w:r>
        <w:rPr>
          <w:rFonts w:hint="eastAsia"/>
          <w:bCs/>
          <w:lang w:eastAsia="zh-CN"/>
        </w:rPr>
        <w:t>，</w:t>
      </w:r>
      <w:r>
        <w:rPr>
          <w:rFonts w:hint="eastAsia"/>
          <w:bCs/>
          <w:lang w:val="en-US" w:eastAsia="zh-CN"/>
        </w:rPr>
        <w:t>或引入其他已商用成熟物流平台</w:t>
      </w:r>
      <w:r>
        <w:rPr>
          <w:rFonts w:hint="eastAsia"/>
          <w:bCs/>
        </w:rPr>
        <w:t>，提供农村物流供需信息发布、撮合物流交易、物流资源调配、物流跟踪、信用评价、数据分析、宣传推广等功能。推动整合邮政车辆、客货班车、农资配送、农超商贸配送、电子商务配送、快递物流以及社会零散车辆运力资源，与农村各种零散物流需求快速撮合，实现规模化运输，提升物流效率。推动平台技术接口标准、操作流程及服务规范进一步统一，实现可公开信息的共享和互联互通，实现农村物流信息资源的汇总。</w:t>
      </w:r>
    </w:p>
    <w:p w14:paraId="15DE170A">
      <w:pPr>
        <w:bidi w:val="0"/>
        <w:rPr>
          <w:rFonts w:hint="eastAsia"/>
          <w:bCs/>
        </w:rPr>
      </w:pPr>
      <w:bookmarkStart w:id="134" w:name="_Toc27953909"/>
      <w:r>
        <w:rPr>
          <w:rFonts w:hint="eastAsia"/>
          <w:bCs/>
        </w:rPr>
        <w:t>（四）加强镇村两级物流标准化建设</w:t>
      </w:r>
      <w:bookmarkEnd w:id="134"/>
    </w:p>
    <w:p w14:paraId="6A7EB563">
      <w:pPr>
        <w:bidi w:val="0"/>
        <w:rPr>
          <w:rFonts w:hint="eastAsia"/>
          <w:bCs/>
        </w:rPr>
      </w:pPr>
      <w:r>
        <w:rPr>
          <w:rFonts w:hint="eastAsia"/>
          <w:bCs/>
        </w:rPr>
        <w:t>制订</w:t>
      </w:r>
      <w:r>
        <w:rPr>
          <w:rFonts w:hint="eastAsia"/>
          <w:bCs/>
          <w:lang w:val="en-US" w:eastAsia="zh-CN"/>
        </w:rPr>
        <w:t>彰武县</w:t>
      </w:r>
      <w:r>
        <w:rPr>
          <w:rFonts w:hint="eastAsia"/>
          <w:bCs/>
        </w:rPr>
        <w:t>农村物流配送服务规范，明确镇级农村物流中心、农村物流综合服务站和村级农村物流服务点实现“五个标准化”建设运作，即网络节点建设标准化、运输设施标准化、服务标准化、包装标准化、品牌标准化。村级物流服务点重点打造统一标识的乡村“幸福驿站”。选择有条件的镇（街）进行农村物流标准化示范建设，通过“典型引领、示范带动、由点到面、全面推进”方式逐步开展。</w:t>
      </w:r>
    </w:p>
    <w:p w14:paraId="01050429">
      <w:pPr>
        <w:bidi w:val="0"/>
        <w:rPr>
          <w:rFonts w:hint="eastAsia"/>
          <w:bCs/>
        </w:rPr>
      </w:pPr>
      <w:bookmarkStart w:id="135" w:name="_Toc27953910"/>
      <w:r>
        <w:rPr>
          <w:rFonts w:hint="eastAsia"/>
          <w:bCs/>
        </w:rPr>
        <w:t>（五）推进乡村“</w:t>
      </w:r>
      <w:r>
        <w:rPr>
          <w:rFonts w:hint="eastAsia"/>
          <w:bCs/>
          <w:lang w:val="en-US" w:eastAsia="zh-CN"/>
        </w:rPr>
        <w:t>美丽彰武</w:t>
      </w:r>
      <w:r>
        <w:rPr>
          <w:rFonts w:hint="eastAsia"/>
          <w:bCs/>
        </w:rPr>
        <w:t>驿站”建设</w:t>
      </w:r>
      <w:bookmarkEnd w:id="135"/>
    </w:p>
    <w:p w14:paraId="2118261F">
      <w:pPr>
        <w:bidi w:val="0"/>
        <w:rPr>
          <w:rFonts w:hint="eastAsia"/>
          <w:highlight w:val="none"/>
          <w:lang w:val="en-US" w:eastAsia="zh-CN"/>
        </w:rPr>
      </w:pPr>
      <w:r>
        <w:rPr>
          <w:rFonts w:hint="eastAsia"/>
          <w:bCs/>
        </w:rPr>
        <w:t>按照“整体规划、市场运作、多业融合”发展原则，探索建设</w:t>
      </w:r>
      <w:r>
        <w:rPr>
          <w:rFonts w:hint="eastAsia"/>
          <w:bCs/>
          <w:lang w:val="en-US" w:eastAsia="zh-CN"/>
        </w:rPr>
        <w:t>彰武县</w:t>
      </w:r>
      <w:r>
        <w:rPr>
          <w:rFonts w:hint="eastAsia"/>
          <w:bCs/>
        </w:rPr>
        <w:t>域的村级“</w:t>
      </w:r>
      <w:r>
        <w:rPr>
          <w:rFonts w:hint="eastAsia"/>
          <w:bCs/>
          <w:lang w:val="en-US" w:eastAsia="zh-CN"/>
        </w:rPr>
        <w:t>美丽彰武</w:t>
      </w:r>
      <w:r>
        <w:rPr>
          <w:rFonts w:hint="eastAsia"/>
          <w:bCs/>
        </w:rPr>
        <w:t>驿站”。整合乡村生活综合服务中心、村邮政、便利店等，实行“多站合一、多点合一”，融合快递收发、代销代购、水电费代收、信息服务等多重便民服务功能，建立村级快递物流收发服务点和综合便民服务点，统一加挂“</w:t>
      </w:r>
      <w:r>
        <w:rPr>
          <w:rFonts w:hint="eastAsia"/>
          <w:bCs/>
          <w:lang w:val="en-US" w:eastAsia="zh-CN"/>
        </w:rPr>
        <w:t>美丽彰武</w:t>
      </w:r>
      <w:r>
        <w:rPr>
          <w:rFonts w:hint="eastAsia"/>
          <w:bCs/>
        </w:rPr>
        <w:t>驿站”标牌，实现建设规范、服务规范、管理规范，装修式样统一、设施设备统一、服务范围统一、服务标准统一</w:t>
      </w:r>
      <w:r>
        <w:rPr>
          <w:rFonts w:hint="eastAsia"/>
          <w:bCs/>
          <w:lang w:val="en-US" w:eastAsia="zh-CN"/>
        </w:rPr>
        <w:t>的标准运营模式</w:t>
      </w:r>
      <w:r>
        <w:rPr>
          <w:rFonts w:hint="eastAsia"/>
          <w:bCs/>
        </w:rPr>
        <w:t>。依托本地较成熟的物流体系，探索定时、定点、定线的农村物流“货运班车”服务，直抵终端“</w:t>
      </w:r>
      <w:r>
        <w:rPr>
          <w:rFonts w:hint="eastAsia"/>
          <w:bCs/>
          <w:lang w:val="en-US" w:eastAsia="zh-CN"/>
        </w:rPr>
        <w:t>美丽彰武</w:t>
      </w:r>
      <w:r>
        <w:rPr>
          <w:rFonts w:hint="eastAsia"/>
          <w:bCs/>
        </w:rPr>
        <w:t>驿站”，打通农村物流配送“最后一公里”</w:t>
      </w:r>
      <w:r>
        <w:rPr>
          <w:bCs/>
        </w:rPr>
        <w:t>。</w:t>
      </w:r>
    </w:p>
    <w:p w14:paraId="237D4D48">
      <w:pPr>
        <w:numPr>
          <w:ilvl w:val="0"/>
          <w:numId w:val="6"/>
        </w:numPr>
        <w:bidi w:val="0"/>
        <w:ind w:left="0" w:leftChars="0" w:firstLine="560" w:firstLineChars="200"/>
        <w:rPr>
          <w:rFonts w:hint="eastAsia"/>
          <w:highlight w:val="none"/>
          <w:lang w:val="en-US" w:eastAsia="zh-CN"/>
        </w:rPr>
      </w:pPr>
      <w:r>
        <w:rPr>
          <w:rFonts w:hint="eastAsia"/>
          <w:highlight w:val="none"/>
          <w:lang w:val="en-US" w:eastAsia="zh-CN"/>
        </w:rPr>
        <w:br w:type="page"/>
      </w:r>
    </w:p>
    <w:p w14:paraId="39477D40">
      <w:pPr>
        <w:pStyle w:val="2"/>
        <w:bidi w:val="0"/>
        <w:rPr>
          <w:rFonts w:hint="default"/>
          <w:highlight w:val="none"/>
          <w:lang w:val="en-US" w:eastAsia="zh-CN"/>
        </w:rPr>
      </w:pPr>
      <w:bookmarkStart w:id="136" w:name="_Toc25348"/>
      <w:bookmarkStart w:id="137" w:name="_Toc4313"/>
      <w:r>
        <w:rPr>
          <w:rFonts w:hint="eastAsia"/>
          <w:highlight w:val="none"/>
          <w:lang w:val="en-US" w:eastAsia="zh-CN"/>
        </w:rPr>
        <w:t>主要任务</w:t>
      </w:r>
      <w:bookmarkEnd w:id="136"/>
      <w:bookmarkEnd w:id="137"/>
    </w:p>
    <w:p w14:paraId="197EB4E3">
      <w:pPr>
        <w:pStyle w:val="3"/>
        <w:bidi w:val="0"/>
        <w:rPr>
          <w:highlight w:val="none"/>
          <w:lang w:val="en-US" w:eastAsia="zh-CN"/>
        </w:rPr>
      </w:pPr>
      <w:bookmarkStart w:id="138" w:name="_Toc26949"/>
      <w:bookmarkStart w:id="139" w:name="_Toc4560"/>
      <w:r>
        <w:rPr>
          <w:highlight w:val="none"/>
          <w:lang w:val="en-US" w:eastAsia="zh-CN"/>
        </w:rPr>
        <w:t>完善物流通道体系</w:t>
      </w:r>
      <w:bookmarkEnd w:id="138"/>
      <w:bookmarkEnd w:id="139"/>
    </w:p>
    <w:p w14:paraId="72B08177">
      <w:pPr>
        <w:keepNext w:val="0"/>
        <w:keepLines w:val="0"/>
        <w:widowControl/>
        <w:suppressLineNumbers w:val="0"/>
        <w:jc w:val="left"/>
        <w:rPr>
          <w:sz w:val="28"/>
          <w:szCs w:val="28"/>
          <w:highlight w:val="none"/>
        </w:rPr>
      </w:pPr>
      <w:r>
        <w:rPr>
          <w:rFonts w:ascii="仿宋" w:hAnsi="仿宋" w:eastAsia="仿宋" w:cs="仿宋"/>
          <w:b/>
          <w:bCs/>
          <w:color w:val="000000"/>
          <w:kern w:val="0"/>
          <w:sz w:val="28"/>
          <w:szCs w:val="28"/>
          <w:highlight w:val="none"/>
          <w:lang w:val="en-US" w:eastAsia="zh-CN" w:bidi="ar"/>
        </w:rPr>
        <w:t>畅通对外物流通道</w:t>
      </w:r>
      <w:r>
        <w:rPr>
          <w:rFonts w:hint="eastAsia" w:ascii="仿宋" w:hAnsi="仿宋" w:eastAsia="仿宋" w:cs="仿宋"/>
          <w:color w:val="000000"/>
          <w:kern w:val="0"/>
          <w:sz w:val="28"/>
          <w:szCs w:val="28"/>
          <w:highlight w:val="none"/>
          <w:lang w:val="en-US" w:eastAsia="zh-CN" w:bidi="ar"/>
        </w:rPr>
        <w:t xml:space="preserve">。优化公路运输通道，以推动新鲁高速、长深高速、国省道京沈线、丹霍线、开奈线，其他公路柏哈线、法盘线等公路畅通为重点，提升物流运输畅通水平。 </w:t>
      </w:r>
    </w:p>
    <w:p w14:paraId="2726D6CC">
      <w:pPr>
        <w:keepNext w:val="0"/>
        <w:keepLines w:val="0"/>
        <w:widowControl/>
        <w:suppressLineNumbers w:val="0"/>
        <w:jc w:val="left"/>
        <w:rPr>
          <w:sz w:val="28"/>
          <w:szCs w:val="28"/>
          <w:highlight w:val="none"/>
        </w:rPr>
      </w:pPr>
      <w:r>
        <w:rPr>
          <w:rFonts w:hint="eastAsia" w:ascii="仿宋" w:hAnsi="仿宋" w:eastAsia="仿宋" w:cs="仿宋"/>
          <w:color w:val="000000"/>
          <w:kern w:val="0"/>
          <w:sz w:val="28"/>
          <w:szCs w:val="28"/>
          <w:highlight w:val="none"/>
          <w:lang w:val="en-US" w:eastAsia="zh-CN" w:bidi="ar"/>
        </w:rPr>
        <w:t xml:space="preserve">依托彰武县区位交通条件，加强与通辽的交通联系，进一步打通对京、冀、吉、蒙、沈阳都市圈的物流通道。依托大郑线发展铁路运输，推进新鲁高速、长深高速等公路与铁路连接线建设工程，发展公铁联运，进一步提高物流转运效率。加强与大连港等港口及沈阳桃仙机场等航空、物流中心功能对接，提升本地优质农产品和优势产业产品对外输出能力。加快推进“高铁+物流”融合发展，巩固高铁线路带来的发展机遇。 </w:t>
      </w:r>
    </w:p>
    <w:p w14:paraId="4769B7BF">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提升县域物流通道</w:t>
      </w:r>
      <w:r>
        <w:rPr>
          <w:rFonts w:hint="eastAsia" w:ascii="仿宋" w:hAnsi="仿宋" w:eastAsia="仿宋" w:cs="仿宋"/>
          <w:color w:val="000000"/>
          <w:kern w:val="0"/>
          <w:sz w:val="28"/>
          <w:szCs w:val="28"/>
          <w:highlight w:val="none"/>
          <w:lang w:val="en-US" w:eastAsia="zh-CN" w:bidi="ar"/>
        </w:rPr>
        <w:t xml:space="preserve">。构建县域交通网格，以县域十字交叉交通廊道为基础，打造区域性连通通道。全面提升农村路网服务水平和干线公路通行能力。完善道路联通，提升产业中心交通设施水平。优化公路中心、铁路场站等物流节点基础设施，畅通公铁联运中心场站与城市主干道的连接，提升重要节点物流衔接能力。 </w:t>
      </w:r>
    </w:p>
    <w:p w14:paraId="565C1864">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优化市政交通设施</w:t>
      </w:r>
      <w:r>
        <w:rPr>
          <w:rFonts w:hint="eastAsia" w:ascii="仿宋" w:hAnsi="仿宋" w:eastAsia="仿宋" w:cs="仿宋"/>
          <w:color w:val="000000"/>
          <w:kern w:val="0"/>
          <w:sz w:val="28"/>
          <w:szCs w:val="28"/>
          <w:highlight w:val="none"/>
          <w:lang w:val="en-US" w:eastAsia="zh-CN" w:bidi="ar"/>
        </w:rPr>
        <w:t>。优化城市路网结构，完善主干路-次干路-支路三级道路体系，重点构建县城“四纵六横”的主干道系统。基于中心城区的现实特征，建立高效便捷的城市配送系统，打通物流运输的“最后一公里”。完善物流配送体系，提高配送效率、降低配送成本，提升城市配送服务水平。</w:t>
      </w:r>
    </w:p>
    <w:p w14:paraId="376C81D5">
      <w:pPr>
        <w:pStyle w:val="3"/>
        <w:bidi w:val="0"/>
        <w:rPr>
          <w:highlight w:val="none"/>
        </w:rPr>
      </w:pPr>
      <w:bookmarkStart w:id="140" w:name="_Toc22979"/>
      <w:bookmarkStart w:id="141" w:name="_Toc9084"/>
      <w:r>
        <w:rPr>
          <w:rFonts w:ascii="楷体" w:hAnsi="楷体" w:eastAsia="楷体" w:cs="楷体"/>
          <w:b/>
          <w:bCs/>
          <w:color w:val="000000"/>
          <w:kern w:val="0"/>
          <w:sz w:val="31"/>
          <w:szCs w:val="31"/>
          <w:highlight w:val="none"/>
          <w:lang w:val="en-US" w:eastAsia="zh-CN" w:bidi="ar"/>
        </w:rPr>
        <w:t>积极培育智慧物流</w:t>
      </w:r>
      <w:bookmarkEnd w:id="140"/>
      <w:bookmarkEnd w:id="141"/>
      <w:r>
        <w:rPr>
          <w:rFonts w:ascii="Calibri Light" w:hAnsi="Calibri Light" w:eastAsia="Calibri Light" w:cs="Calibri Light"/>
          <w:b/>
          <w:bCs/>
          <w:color w:val="000000"/>
          <w:kern w:val="0"/>
          <w:sz w:val="31"/>
          <w:szCs w:val="31"/>
          <w:highlight w:val="none"/>
          <w:lang w:val="en-US" w:eastAsia="zh-CN" w:bidi="ar"/>
        </w:rPr>
        <w:t xml:space="preserve"> </w:t>
      </w:r>
    </w:p>
    <w:p w14:paraId="38FA1A8E">
      <w:pPr>
        <w:keepNext w:val="0"/>
        <w:keepLines w:val="0"/>
        <w:widowControl/>
        <w:suppressLineNumbers w:val="0"/>
        <w:jc w:val="left"/>
        <w:rPr>
          <w:sz w:val="28"/>
          <w:szCs w:val="28"/>
          <w:highlight w:val="none"/>
        </w:rPr>
      </w:pPr>
      <w:r>
        <w:rPr>
          <w:rFonts w:ascii="仿宋" w:hAnsi="仿宋" w:eastAsia="仿宋" w:cs="仿宋"/>
          <w:b/>
          <w:bCs/>
          <w:color w:val="000000"/>
          <w:kern w:val="0"/>
          <w:sz w:val="28"/>
          <w:szCs w:val="28"/>
          <w:highlight w:val="none"/>
          <w:lang w:val="en-US" w:eastAsia="zh-CN" w:bidi="ar"/>
        </w:rPr>
        <w:t>提升物流设施设备智慧化水平</w:t>
      </w:r>
      <w:r>
        <w:rPr>
          <w:rFonts w:hint="eastAsia" w:ascii="仿宋" w:hAnsi="仿宋" w:eastAsia="仿宋" w:cs="仿宋"/>
          <w:color w:val="000000"/>
          <w:kern w:val="0"/>
          <w:sz w:val="28"/>
          <w:szCs w:val="28"/>
          <w:highlight w:val="none"/>
          <w:lang w:val="en-US" w:eastAsia="zh-CN" w:bidi="ar"/>
        </w:rPr>
        <w:t xml:space="preserve">。推动物流中心、货运场站等物流基础设施数字化改造升级，打造智慧物流中心、无人场站、数字仓库等。运用无人机、无人驾驶货车、可穿戴设备、智能快件箱、自动分拣机器人等智能化装备，推进数字化终端设备的普及应用。引进“信息系统+货架、托盘、叉车”仓库基本配置技术，推进传统仓储设施数字化转型。鼓励仓储、快递、第三方技术服务企业发展智能仓储，引进智能物流仓储系统，利用自动化技术、RFID、机器视觉等技术，实现对货物的精准追踪和管理，推广智慧物流先进技术和管理模式。 </w:t>
      </w:r>
    </w:p>
    <w:p w14:paraId="6F911093">
      <w:pPr>
        <w:keepNext w:val="0"/>
        <w:keepLines w:val="0"/>
        <w:widowControl/>
        <w:suppressLineNumbers w:val="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b/>
          <w:bCs/>
          <w:color w:val="000000"/>
          <w:kern w:val="0"/>
          <w:sz w:val="28"/>
          <w:szCs w:val="28"/>
          <w:highlight w:val="none"/>
          <w:lang w:val="en-US" w:eastAsia="zh-CN" w:bidi="ar"/>
        </w:rPr>
        <w:t>推动物流企业信息化改造</w:t>
      </w:r>
      <w:r>
        <w:rPr>
          <w:rFonts w:hint="eastAsia" w:ascii="仿宋" w:hAnsi="仿宋" w:eastAsia="仿宋" w:cs="仿宋"/>
          <w:color w:val="000000"/>
          <w:kern w:val="0"/>
          <w:sz w:val="28"/>
          <w:szCs w:val="28"/>
          <w:highlight w:val="none"/>
          <w:lang w:val="en-US" w:eastAsia="zh-CN" w:bidi="ar"/>
        </w:rPr>
        <w:t>。建立智慧物流平台，整合各类物流服务，提高信息发布、市场共享、物流配套、产品推介等物流链条各环节的服务水平。推广物联网技术，连接各类物流设施设备，实现数据实时共享与交换，监控设备使用情况及维护需求，提升设备使用效率。扩大物联网技术在产品溯源、冷链控制、车辆调度、安全驾驶提醒等方面的应用。探索应用大数据技术进行需求预测、优化仓储、运输、配送</w:t>
      </w:r>
      <w:r>
        <w:rPr>
          <w:rFonts w:ascii="仿宋" w:hAnsi="仿宋" w:eastAsia="仿宋" w:cs="仿宋"/>
          <w:color w:val="000000"/>
          <w:kern w:val="0"/>
          <w:sz w:val="28"/>
          <w:szCs w:val="28"/>
          <w:highlight w:val="none"/>
          <w:lang w:val="en-US" w:eastAsia="zh-CN" w:bidi="ar"/>
        </w:rPr>
        <w:t>网络及物流路线，结合人工智能与机器学习进行物流数据分</w:t>
      </w:r>
      <w:r>
        <w:rPr>
          <w:rFonts w:hint="eastAsia" w:ascii="仿宋" w:hAnsi="仿宋" w:eastAsia="仿宋" w:cs="仿宋"/>
          <w:color w:val="000000"/>
          <w:kern w:val="0"/>
          <w:sz w:val="28"/>
          <w:szCs w:val="28"/>
          <w:highlight w:val="none"/>
          <w:lang w:val="en-US" w:eastAsia="zh-CN" w:bidi="ar"/>
        </w:rPr>
        <w:t>析，提高物流运输效率。加强信息安全建设，提高物流信息安全和隐私保护水平。</w:t>
      </w:r>
    </w:p>
    <w:p w14:paraId="6FD7334F">
      <w:pPr>
        <w:pStyle w:val="3"/>
        <w:bidi w:val="0"/>
        <w:rPr>
          <w:highlight w:val="none"/>
        </w:rPr>
      </w:pPr>
      <w:bookmarkStart w:id="142" w:name="_Toc16180"/>
      <w:bookmarkStart w:id="143" w:name="_Toc12986"/>
      <w:r>
        <w:rPr>
          <w:rFonts w:ascii="楷体" w:hAnsi="楷体" w:eastAsia="楷体" w:cs="楷体"/>
          <w:b/>
          <w:bCs/>
          <w:color w:val="000000"/>
          <w:kern w:val="0"/>
          <w:sz w:val="31"/>
          <w:szCs w:val="31"/>
          <w:highlight w:val="none"/>
          <w:lang w:val="en-US" w:eastAsia="zh-CN" w:bidi="ar"/>
        </w:rPr>
        <w:t>全面推广绿色物流</w:t>
      </w:r>
      <w:bookmarkEnd w:id="142"/>
      <w:bookmarkEnd w:id="143"/>
      <w:r>
        <w:rPr>
          <w:rFonts w:ascii="Calibri Light" w:hAnsi="Calibri Light" w:eastAsia="Calibri Light" w:cs="Calibri Light"/>
          <w:b/>
          <w:bCs/>
          <w:color w:val="000000"/>
          <w:kern w:val="0"/>
          <w:sz w:val="31"/>
          <w:szCs w:val="31"/>
          <w:highlight w:val="none"/>
          <w:lang w:val="en-US" w:eastAsia="zh-CN" w:bidi="ar"/>
        </w:rPr>
        <w:t xml:space="preserve"> </w:t>
      </w:r>
    </w:p>
    <w:p w14:paraId="1114F425">
      <w:pPr>
        <w:keepNext w:val="0"/>
        <w:keepLines w:val="0"/>
        <w:widowControl/>
        <w:suppressLineNumbers w:val="0"/>
        <w:jc w:val="left"/>
        <w:rPr>
          <w:sz w:val="28"/>
          <w:szCs w:val="28"/>
          <w:highlight w:val="none"/>
        </w:rPr>
      </w:pPr>
      <w:r>
        <w:rPr>
          <w:rFonts w:ascii="仿宋" w:hAnsi="仿宋" w:eastAsia="仿宋" w:cs="仿宋"/>
          <w:b/>
          <w:bCs/>
          <w:color w:val="000000"/>
          <w:kern w:val="0"/>
          <w:sz w:val="28"/>
          <w:szCs w:val="28"/>
          <w:highlight w:val="none"/>
          <w:lang w:val="en-US" w:eastAsia="zh-CN" w:bidi="ar"/>
        </w:rPr>
        <w:t>推动物流设施及技术绿色化改造</w:t>
      </w:r>
      <w:r>
        <w:rPr>
          <w:rFonts w:hint="eastAsia" w:ascii="仿宋" w:hAnsi="仿宋" w:eastAsia="仿宋" w:cs="仿宋"/>
          <w:color w:val="000000"/>
          <w:kern w:val="0"/>
          <w:sz w:val="28"/>
          <w:szCs w:val="28"/>
          <w:highlight w:val="none"/>
          <w:lang w:val="en-US" w:eastAsia="zh-CN" w:bidi="ar"/>
        </w:rPr>
        <w:t xml:space="preserve">。推动仓储设施节能降耗与绿色发展，引导企业建设节能型绿色仓储设施，对原有仓储设施开展绿色化升级改造。推动绿色货运模式创新，推动绿色货运车辆技术应用和绿色驾驶，推进节能减排。鼓励采用低能耗、低排放运输工具，推广电动汽车、混合动力汽车等新能源车辆在城市配送、邮政快递等领域应用。推进公共“挂车池”“运力池”“托盘池”等共享模式和甩挂运输等绿色运输方式发展。推广集装技术和单元装载技术，促进物流各功能环节有效衔接。 </w:t>
      </w:r>
    </w:p>
    <w:p w14:paraId="7B260619">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提高资源利用效率</w:t>
      </w:r>
      <w:r>
        <w:rPr>
          <w:rFonts w:hint="eastAsia" w:ascii="仿宋" w:hAnsi="仿宋" w:eastAsia="仿宋" w:cs="仿宋"/>
          <w:color w:val="000000"/>
          <w:kern w:val="0"/>
          <w:sz w:val="28"/>
          <w:szCs w:val="28"/>
          <w:highlight w:val="none"/>
          <w:lang w:val="en-US" w:eastAsia="zh-CN" w:bidi="ar"/>
        </w:rPr>
        <w:t>。推广电子面单、环保袋、循环箱、绿色回收箱，推进物流企业与制造、商贸流通企业包装循环共用，推广使用可降解包装材料，实施货物包装和物流器具绿色化、减量化改造。推进创新技术在物流中的应用，有效提升运配效率，降低能源损耗。应用调度算法和运筹优化技术等，指挥车辆精确运输。积极发展共同配送、统一配送、集中配送、夜间配送等集约化配送组织模式，提高车辆装载率。</w:t>
      </w:r>
    </w:p>
    <w:p w14:paraId="1FDB244D">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探索发展绿色逆向物流</w:t>
      </w:r>
      <w:r>
        <w:rPr>
          <w:rFonts w:hint="eastAsia" w:ascii="仿宋" w:hAnsi="仿宋" w:eastAsia="仿宋" w:cs="仿宋"/>
          <w:color w:val="000000"/>
          <w:kern w:val="0"/>
          <w:sz w:val="28"/>
          <w:szCs w:val="28"/>
          <w:highlight w:val="none"/>
          <w:lang w:val="en-US" w:eastAsia="zh-CN" w:bidi="ar"/>
        </w:rPr>
        <w:t>。布局城市逆向物流网点，完善</w:t>
      </w:r>
      <w:r>
        <w:rPr>
          <w:rFonts w:ascii="仿宋" w:hAnsi="仿宋" w:eastAsia="仿宋" w:cs="仿宋"/>
          <w:color w:val="000000"/>
          <w:kern w:val="0"/>
          <w:sz w:val="28"/>
          <w:szCs w:val="28"/>
          <w:highlight w:val="none"/>
          <w:lang w:val="en-US" w:eastAsia="zh-CN" w:bidi="ar"/>
        </w:rPr>
        <w:t>社区废旧物资回收网络。创新逆向物流回收模式，围绕家用</w:t>
      </w:r>
      <w:r>
        <w:rPr>
          <w:rFonts w:hint="eastAsia" w:ascii="仿宋" w:hAnsi="仿宋" w:eastAsia="仿宋" w:cs="仿宋"/>
          <w:color w:val="000000"/>
          <w:kern w:val="0"/>
          <w:sz w:val="28"/>
          <w:szCs w:val="28"/>
          <w:highlight w:val="none"/>
          <w:lang w:val="en-US" w:eastAsia="zh-CN" w:bidi="ar"/>
        </w:rPr>
        <w:t xml:space="preserve">电器、电子产品、汽车、快递包装等废旧物资，构建线上线下融合的逆向物流服务平台和回收网络。引导生产企业建立逆向物流回收体系，推动硅砂产业、机械装备制造、新型建材等生产企业利用售后服务体系建立再制造逆向物流回收网络。培育一批逆向物流服务主体，推动第三方物流开展逆向物流业务，提供个性化和专业化物流服务。 </w:t>
      </w:r>
    </w:p>
    <w:p w14:paraId="5570AF05">
      <w:pPr>
        <w:pStyle w:val="3"/>
        <w:bidi w:val="0"/>
        <w:rPr>
          <w:highlight w:val="none"/>
        </w:rPr>
      </w:pPr>
      <w:bookmarkStart w:id="144" w:name="_Toc19439"/>
      <w:bookmarkStart w:id="145" w:name="_Toc3715"/>
      <w:r>
        <w:rPr>
          <w:rFonts w:ascii="楷体" w:hAnsi="楷体" w:eastAsia="楷体" w:cs="楷体"/>
          <w:b/>
          <w:bCs/>
          <w:color w:val="000000"/>
          <w:kern w:val="0"/>
          <w:sz w:val="31"/>
          <w:szCs w:val="31"/>
          <w:highlight w:val="none"/>
          <w:lang w:val="en-US" w:eastAsia="zh-CN" w:bidi="ar"/>
        </w:rPr>
        <w:t>加强物流标准化建设</w:t>
      </w:r>
      <w:bookmarkEnd w:id="144"/>
      <w:bookmarkEnd w:id="145"/>
      <w:r>
        <w:rPr>
          <w:rFonts w:hint="default" w:ascii="Calibri Light" w:hAnsi="Calibri Light" w:eastAsia="Calibri Light" w:cs="Calibri Light"/>
          <w:b/>
          <w:bCs/>
          <w:color w:val="000000"/>
          <w:kern w:val="0"/>
          <w:sz w:val="31"/>
          <w:szCs w:val="31"/>
          <w:highlight w:val="none"/>
          <w:lang w:val="en-US" w:eastAsia="zh-CN" w:bidi="ar"/>
        </w:rPr>
        <w:t xml:space="preserve"> </w:t>
      </w:r>
    </w:p>
    <w:p w14:paraId="7845EE86">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加快推广标准化物流设备</w:t>
      </w:r>
      <w:r>
        <w:rPr>
          <w:rFonts w:hint="eastAsia" w:ascii="仿宋" w:hAnsi="仿宋" w:eastAsia="仿宋" w:cs="仿宋"/>
          <w:color w:val="000000"/>
          <w:kern w:val="0"/>
          <w:sz w:val="28"/>
          <w:szCs w:val="28"/>
          <w:highlight w:val="none"/>
          <w:lang w:val="en-US" w:eastAsia="zh-CN" w:bidi="ar"/>
        </w:rPr>
        <w:t xml:space="preserve">。推动标准化托盘、集装箱、周转箱应用，鼓励企业使用标准化车辆，鼓励对仓库、配送中心等物流设施进行标准化建设和改造，确保各类设施之间的兼容性和可互换性。推动物流信息标准化，应用全球统一编码标识（GS1），探索托盘条码与商品条码、箱码、物流单元代码关联衔接。推动统一检测、统一检斤、统一结算、统一仓储和统一配送模式在农产品物流及冷链物流等领域的应用。 </w:t>
      </w:r>
    </w:p>
    <w:p w14:paraId="60751429">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建立物流管理标准化体系</w:t>
      </w:r>
      <w:r>
        <w:rPr>
          <w:rFonts w:hint="eastAsia" w:ascii="仿宋" w:hAnsi="仿宋" w:eastAsia="仿宋" w:cs="仿宋"/>
          <w:color w:val="000000"/>
          <w:kern w:val="0"/>
          <w:sz w:val="28"/>
          <w:szCs w:val="28"/>
          <w:highlight w:val="none"/>
          <w:lang w:val="en-US" w:eastAsia="zh-CN" w:bidi="ar"/>
        </w:rPr>
        <w:t>。建立物流标准化体制机制，结合彰武县产业特色与发展实际，围绕集货、库存、分拣、追溯、投保、运输、支付等功能及领域，制定物流标准，明确各环节责任和任务，提高作业效率。推动物流业各业态、各领域基本信息数据的标准化，引导物流企业通过电子化、数据化方式采集物流交易和物流活动信息。加强不同物流信</w:t>
      </w:r>
      <w:r>
        <w:rPr>
          <w:rFonts w:ascii="仿宋" w:hAnsi="仿宋" w:eastAsia="仿宋" w:cs="仿宋"/>
          <w:color w:val="000000"/>
          <w:kern w:val="0"/>
          <w:sz w:val="28"/>
          <w:szCs w:val="28"/>
          <w:highlight w:val="none"/>
          <w:lang w:val="en-US" w:eastAsia="zh-CN" w:bidi="ar"/>
        </w:rPr>
        <w:t>息平台间信息接口、数据传输等标准化建设，促进物流各领</w:t>
      </w:r>
      <w:r>
        <w:rPr>
          <w:rFonts w:hint="eastAsia" w:ascii="仿宋" w:hAnsi="仿宋" w:eastAsia="仿宋" w:cs="仿宋"/>
          <w:color w:val="000000"/>
          <w:kern w:val="0"/>
          <w:sz w:val="28"/>
          <w:szCs w:val="28"/>
          <w:highlight w:val="none"/>
          <w:lang w:val="en-US" w:eastAsia="zh-CN" w:bidi="ar"/>
        </w:rPr>
        <w:t xml:space="preserve">域信息资源互通共享。 </w:t>
      </w:r>
    </w:p>
    <w:p w14:paraId="151E8783">
      <w:pPr>
        <w:pStyle w:val="3"/>
        <w:bidi w:val="0"/>
        <w:rPr>
          <w:highlight w:val="none"/>
        </w:rPr>
      </w:pPr>
      <w:bookmarkStart w:id="146" w:name="_Toc27060"/>
      <w:r>
        <w:rPr>
          <w:rFonts w:ascii="楷体" w:hAnsi="楷体" w:eastAsia="楷体" w:cs="楷体"/>
          <w:b/>
          <w:bCs/>
          <w:color w:val="000000"/>
          <w:kern w:val="0"/>
          <w:sz w:val="31"/>
          <w:szCs w:val="31"/>
          <w:highlight w:val="none"/>
          <w:lang w:val="en-US" w:eastAsia="zh-CN" w:bidi="ar"/>
        </w:rPr>
        <w:t>加快应急物流发展</w:t>
      </w:r>
      <w:bookmarkEnd w:id="146"/>
      <w:r>
        <w:rPr>
          <w:rFonts w:hint="default" w:ascii="Calibri Light" w:hAnsi="Calibri Light" w:eastAsia="Calibri Light" w:cs="Calibri Light"/>
          <w:b/>
          <w:bCs/>
          <w:color w:val="000000"/>
          <w:kern w:val="0"/>
          <w:sz w:val="31"/>
          <w:szCs w:val="31"/>
          <w:highlight w:val="none"/>
          <w:lang w:val="en-US" w:eastAsia="zh-CN" w:bidi="ar"/>
        </w:rPr>
        <w:t xml:space="preserve"> </w:t>
      </w:r>
    </w:p>
    <w:p w14:paraId="48BC49D2">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健全应急物资储备体系</w:t>
      </w:r>
      <w:r>
        <w:rPr>
          <w:rFonts w:hint="eastAsia" w:ascii="仿宋" w:hAnsi="仿宋" w:eastAsia="仿宋" w:cs="仿宋"/>
          <w:color w:val="000000"/>
          <w:kern w:val="0"/>
          <w:sz w:val="28"/>
          <w:szCs w:val="28"/>
          <w:highlight w:val="none"/>
          <w:lang w:val="en-US" w:eastAsia="zh-CN" w:bidi="ar"/>
        </w:rPr>
        <w:t xml:space="preserve">。根据彰武县可能的应急物流需求，优化应急物资储备的规模、品种、结构和布局。统筹各级各类应急物资储备，重点建设全县重要应急物资储备库。基于物流中心、节点布局，在彰武县城、托章古台镇、哈尔套镇、东六家子镇、后新秋镇等交通条件优、发展潜力大的地区，规划应急物流中心及节点，完善物流中心和节点的应急物流功能，修建符合要求的应急物资储备库。在关键节点针对性预置急需物流装备和物资器材。 </w:t>
      </w:r>
    </w:p>
    <w:p w14:paraId="6B35126E">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加强应急设施保障能力</w:t>
      </w:r>
      <w:r>
        <w:rPr>
          <w:rFonts w:hint="eastAsia" w:ascii="仿宋" w:hAnsi="仿宋" w:eastAsia="仿宋" w:cs="仿宋"/>
          <w:color w:val="000000"/>
          <w:kern w:val="0"/>
          <w:sz w:val="28"/>
          <w:szCs w:val="28"/>
          <w:highlight w:val="none"/>
          <w:lang w:val="en-US" w:eastAsia="zh-CN" w:bidi="ar"/>
        </w:rPr>
        <w:t xml:space="preserve">。综合考虑铁路、公路运输方式，提升铁路场站、高速公路服务区等设施的应急物流服务保障能力，确保应急物流通道始终处于畅通状态。加强应急物流基础设施建设，提高应急物流设施的覆盖率和分布密度，提升应对能力。优化物流中心、配送中心和末端网点三级应急物流配送网络，增强应急物资存储、运输、中转、配送能力，提高配送效率。建立应急物流管理信息平台，集合地理信息、资源配置、物流通道、应急力量等综合信息。 </w:t>
      </w:r>
    </w:p>
    <w:p w14:paraId="1B23914E">
      <w:pPr>
        <w:pStyle w:val="3"/>
        <w:bidi w:val="0"/>
        <w:rPr>
          <w:highlight w:val="none"/>
        </w:rPr>
      </w:pPr>
      <w:bookmarkStart w:id="147" w:name="_Toc4908"/>
      <w:bookmarkStart w:id="148" w:name="_Toc15136"/>
      <w:r>
        <w:rPr>
          <w:rFonts w:hint="eastAsia" w:ascii="楷体" w:hAnsi="楷体" w:eastAsia="楷体" w:cs="楷体"/>
          <w:b/>
          <w:bCs/>
          <w:color w:val="000000"/>
          <w:kern w:val="0"/>
          <w:sz w:val="31"/>
          <w:szCs w:val="31"/>
          <w:highlight w:val="none"/>
          <w:lang w:val="en-US" w:eastAsia="zh-CN" w:bidi="ar"/>
        </w:rPr>
        <w:t>壮大物流市场主体</w:t>
      </w:r>
      <w:bookmarkEnd w:id="147"/>
      <w:bookmarkEnd w:id="148"/>
      <w:r>
        <w:rPr>
          <w:rFonts w:hint="default" w:ascii="Calibri Light" w:hAnsi="Calibri Light" w:eastAsia="Calibri Light" w:cs="Calibri Light"/>
          <w:b/>
          <w:bCs/>
          <w:color w:val="000000"/>
          <w:kern w:val="0"/>
          <w:sz w:val="31"/>
          <w:szCs w:val="31"/>
          <w:highlight w:val="none"/>
          <w:lang w:val="en-US" w:eastAsia="zh-CN" w:bidi="ar"/>
        </w:rPr>
        <w:t xml:space="preserve"> </w:t>
      </w:r>
    </w:p>
    <w:p w14:paraId="25DFE475">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引进行业龙头企业</w:t>
      </w:r>
      <w:r>
        <w:rPr>
          <w:rFonts w:hint="eastAsia" w:ascii="仿宋" w:hAnsi="仿宋" w:eastAsia="仿宋" w:cs="仿宋"/>
          <w:color w:val="000000"/>
          <w:kern w:val="0"/>
          <w:sz w:val="28"/>
          <w:szCs w:val="28"/>
          <w:highlight w:val="none"/>
          <w:lang w:val="en-US" w:eastAsia="zh-CN" w:bidi="ar"/>
        </w:rPr>
        <w:t>。充分发挥县城物流核心区、章古台镇物流核心区等平台的承载和吸引作用，主动对接京津冀、长</w:t>
      </w:r>
      <w:r>
        <w:rPr>
          <w:rFonts w:ascii="仿宋" w:hAnsi="仿宋" w:eastAsia="仿宋" w:cs="仿宋"/>
          <w:color w:val="000000"/>
          <w:kern w:val="0"/>
          <w:sz w:val="28"/>
          <w:szCs w:val="28"/>
          <w:highlight w:val="none"/>
          <w:lang w:val="en-US" w:eastAsia="zh-CN" w:bidi="ar"/>
        </w:rPr>
        <w:t>三角等地区，强化点对点、面对面精准招商、带队招商，开</w:t>
      </w:r>
      <w:r>
        <w:rPr>
          <w:rFonts w:hint="eastAsia" w:ascii="仿宋" w:hAnsi="仿宋" w:eastAsia="仿宋" w:cs="仿宋"/>
          <w:color w:val="000000"/>
          <w:kern w:val="0"/>
          <w:sz w:val="28"/>
          <w:szCs w:val="28"/>
          <w:highlight w:val="none"/>
          <w:lang w:val="en-US" w:eastAsia="zh-CN" w:bidi="ar"/>
        </w:rPr>
        <w:t xml:space="preserve">展招商引资工作。围绕冷链物流、农产品物流、工业物流、电商物流、智慧物流等相关领域，开展一对一招商，吸引星级冷链物流企业、3A级以上物流企业入驻。 </w:t>
      </w:r>
    </w:p>
    <w:p w14:paraId="6DE03832">
      <w:pPr>
        <w:keepNext w:val="0"/>
        <w:keepLines w:val="0"/>
        <w:widowControl/>
        <w:suppressLineNumbers w:val="0"/>
        <w:jc w:val="left"/>
        <w:rPr>
          <w:sz w:val="28"/>
          <w:szCs w:val="28"/>
          <w:highlight w:val="none"/>
        </w:rPr>
      </w:pPr>
      <w:r>
        <w:rPr>
          <w:rFonts w:hint="eastAsia" w:ascii="仿宋" w:hAnsi="仿宋" w:eastAsia="仿宋" w:cs="仿宋"/>
          <w:b/>
          <w:bCs/>
          <w:color w:val="000000"/>
          <w:kern w:val="0"/>
          <w:sz w:val="28"/>
          <w:szCs w:val="28"/>
          <w:highlight w:val="none"/>
          <w:lang w:val="en-US" w:eastAsia="zh-CN" w:bidi="ar"/>
        </w:rPr>
        <w:t>培育本地物流企业</w:t>
      </w:r>
      <w:r>
        <w:rPr>
          <w:rFonts w:hint="eastAsia" w:ascii="仿宋" w:hAnsi="仿宋" w:eastAsia="仿宋" w:cs="仿宋"/>
          <w:color w:val="000000"/>
          <w:kern w:val="0"/>
          <w:sz w:val="28"/>
          <w:szCs w:val="28"/>
          <w:highlight w:val="none"/>
          <w:lang w:val="en-US" w:eastAsia="zh-CN" w:bidi="ar"/>
        </w:rPr>
        <w:t>。利用国家创新创业政策和物流、快递稳步发展机遇，开展物流企业创业孵化工作。引导现有中小运输企业调整运输结构、经营方向，延伸服务功能，向现代物流企业转型。鼓励本地物流市场主体整合重组，通过兼并、联合等形式，培育规模大、核心业务能力强的物流企业，提升市场规模化、专业化、组织化水平。鼓励本地有条件的物流企业与外地企业开展合作，参与物流资源整合，增强集聚辐射能力。</w:t>
      </w:r>
    </w:p>
    <w:p w14:paraId="7204C54B">
      <w:pPr>
        <w:rPr>
          <w:rFonts w:hint="default"/>
          <w:highlight w:val="none"/>
          <w:lang w:val="en-US" w:eastAsia="zh-CN"/>
        </w:rPr>
      </w:pPr>
    </w:p>
    <w:p w14:paraId="44405621">
      <w:pPr>
        <w:rPr>
          <w:rFonts w:hint="default"/>
          <w:highlight w:val="none"/>
          <w:lang w:val="en-US" w:eastAsia="zh-CN"/>
        </w:rPr>
      </w:pPr>
      <w:r>
        <w:rPr>
          <w:rFonts w:hint="default"/>
          <w:highlight w:val="none"/>
          <w:lang w:val="en-US" w:eastAsia="zh-CN"/>
        </w:rPr>
        <w:br w:type="page"/>
      </w:r>
    </w:p>
    <w:p w14:paraId="11B019C4">
      <w:pPr>
        <w:pStyle w:val="2"/>
        <w:bidi w:val="0"/>
        <w:rPr>
          <w:rFonts w:hint="default"/>
          <w:highlight w:val="none"/>
          <w:lang w:val="en-US" w:eastAsia="zh-CN"/>
        </w:rPr>
      </w:pPr>
      <w:bookmarkStart w:id="149" w:name="_Toc4511"/>
      <w:bookmarkStart w:id="150" w:name="_Toc32349"/>
      <w:bookmarkStart w:id="151" w:name="_Toc8158"/>
      <w:r>
        <w:rPr>
          <w:rFonts w:hint="eastAsia"/>
          <w:highlight w:val="none"/>
          <w:lang w:val="en-US" w:eastAsia="zh-CN"/>
        </w:rPr>
        <w:t>保障措施</w:t>
      </w:r>
      <w:bookmarkEnd w:id="149"/>
      <w:bookmarkEnd w:id="150"/>
      <w:bookmarkEnd w:id="151"/>
    </w:p>
    <w:p w14:paraId="1EEF77DC">
      <w:pPr>
        <w:pStyle w:val="3"/>
        <w:spacing w:before="0" w:after="0" w:line="360" w:lineRule="auto"/>
        <w:rPr>
          <w:rFonts w:ascii="仿宋" w:hAnsi="仿宋" w:eastAsia="仿宋"/>
          <w:sz w:val="30"/>
          <w:szCs w:val="30"/>
          <w:highlight w:val="none"/>
        </w:rPr>
      </w:pPr>
      <w:bookmarkStart w:id="152" w:name="_Toc25293"/>
      <w:bookmarkStart w:id="153" w:name="_Toc23589"/>
      <w:bookmarkStart w:id="154" w:name="_Toc17234"/>
      <w:r>
        <w:rPr>
          <w:rFonts w:hint="eastAsia" w:ascii="仿宋" w:hAnsi="仿宋" w:eastAsia="仿宋"/>
          <w:sz w:val="30"/>
          <w:szCs w:val="30"/>
          <w:highlight w:val="none"/>
        </w:rPr>
        <w:t>创新管理体制机制</w:t>
      </w:r>
      <w:bookmarkEnd w:id="152"/>
      <w:bookmarkEnd w:id="153"/>
      <w:bookmarkEnd w:id="154"/>
    </w:p>
    <w:p w14:paraId="628EBDD8">
      <w:pPr>
        <w:ind w:firstLine="562" w:firstLineChars="200"/>
        <w:rPr>
          <w:rFonts w:hint="eastAsia" w:ascii="仿宋" w:hAnsi="仿宋" w:eastAsia="仿宋"/>
          <w:sz w:val="28"/>
          <w:szCs w:val="28"/>
          <w:highlight w:val="none"/>
        </w:rPr>
      </w:pPr>
      <w:r>
        <w:rPr>
          <w:rFonts w:hint="eastAsia" w:ascii="仿宋" w:hAnsi="仿宋" w:eastAsia="仿宋"/>
          <w:b/>
          <w:sz w:val="28"/>
          <w:szCs w:val="28"/>
          <w:highlight w:val="none"/>
        </w:rPr>
        <w:t>深化完善物流管理体制。</w:t>
      </w:r>
      <w:r>
        <w:rPr>
          <w:rFonts w:hint="eastAsia" w:ascii="仿宋" w:hAnsi="仿宋" w:eastAsia="仿宋"/>
          <w:sz w:val="28"/>
          <w:szCs w:val="28"/>
          <w:highlight w:val="none"/>
        </w:rPr>
        <w:t>建立协同推进现代物流业发展的部门联席会议制度，成立现代物流业发展领导小组，定期召开物流业发展联席会议，协调解决现代物流业发展的重大问题。</w:t>
      </w:r>
    </w:p>
    <w:p w14:paraId="36A143A8">
      <w:pPr>
        <w:ind w:firstLine="562" w:firstLineChars="200"/>
        <w:rPr>
          <w:rFonts w:ascii="仿宋" w:hAnsi="仿宋" w:eastAsia="仿宋"/>
          <w:sz w:val="28"/>
          <w:szCs w:val="28"/>
          <w:highlight w:val="none"/>
        </w:rPr>
      </w:pPr>
      <w:r>
        <w:rPr>
          <w:rFonts w:hint="eastAsia" w:ascii="仿宋" w:hAnsi="仿宋" w:eastAsia="仿宋"/>
          <w:b/>
          <w:sz w:val="28"/>
          <w:szCs w:val="28"/>
          <w:highlight w:val="none"/>
        </w:rPr>
        <w:t>建立协同推进工作机制。</w:t>
      </w:r>
      <w:r>
        <w:rPr>
          <w:rFonts w:hint="eastAsia" w:ascii="仿宋" w:hAnsi="仿宋" w:eastAsia="仿宋"/>
          <w:sz w:val="28"/>
          <w:szCs w:val="28"/>
          <w:highlight w:val="none"/>
        </w:rPr>
        <w:t>形成分工合理、权责明确的制度化、常态化工作协同推进机制和多部门联动的运行管理机制，构建“</w:t>
      </w:r>
      <w:r>
        <w:rPr>
          <w:rFonts w:hint="eastAsia" w:ascii="仿宋" w:hAnsi="仿宋" w:eastAsia="仿宋"/>
          <w:sz w:val="28"/>
          <w:szCs w:val="28"/>
          <w:highlight w:val="none"/>
          <w:lang w:val="en-US" w:eastAsia="zh-CN"/>
        </w:rPr>
        <w:t>县镇</w:t>
      </w:r>
      <w:r>
        <w:rPr>
          <w:rFonts w:hint="eastAsia" w:ascii="仿宋" w:hAnsi="仿宋" w:eastAsia="仿宋"/>
          <w:sz w:val="28"/>
          <w:szCs w:val="28"/>
          <w:highlight w:val="none"/>
        </w:rPr>
        <w:t>分级、上下联动”管理体系，发挥</w:t>
      </w:r>
      <w:r>
        <w:rPr>
          <w:rFonts w:hint="eastAsia" w:ascii="仿宋" w:hAnsi="仿宋" w:eastAsia="仿宋"/>
          <w:sz w:val="28"/>
          <w:szCs w:val="28"/>
          <w:highlight w:val="none"/>
          <w:lang w:val="en-US" w:eastAsia="zh-CN"/>
        </w:rPr>
        <w:t>县</w:t>
      </w:r>
      <w:r>
        <w:rPr>
          <w:rFonts w:hint="eastAsia" w:ascii="仿宋" w:hAnsi="仿宋" w:eastAsia="仿宋"/>
          <w:sz w:val="28"/>
          <w:szCs w:val="28"/>
          <w:highlight w:val="none"/>
        </w:rPr>
        <w:t>级行业主管部门、各</w:t>
      </w:r>
      <w:r>
        <w:rPr>
          <w:rFonts w:hint="eastAsia" w:ascii="仿宋" w:hAnsi="仿宋" w:eastAsia="仿宋"/>
          <w:sz w:val="28"/>
          <w:szCs w:val="28"/>
          <w:highlight w:val="none"/>
          <w:lang w:val="en-US" w:eastAsia="zh-CN"/>
        </w:rPr>
        <w:t>镇</w:t>
      </w:r>
      <w:r>
        <w:rPr>
          <w:rFonts w:hint="eastAsia" w:ascii="仿宋" w:hAnsi="仿宋" w:eastAsia="仿宋"/>
          <w:sz w:val="28"/>
          <w:szCs w:val="28"/>
          <w:highlight w:val="none"/>
        </w:rPr>
        <w:t>（开发区）人民政府（管委会）的统筹协调职能和导向作用。</w:t>
      </w:r>
    </w:p>
    <w:p w14:paraId="0FE08AD8">
      <w:pPr>
        <w:ind w:firstLine="562" w:firstLineChars="200"/>
        <w:rPr>
          <w:rFonts w:ascii="仿宋" w:hAnsi="仿宋" w:eastAsia="仿宋"/>
          <w:sz w:val="28"/>
          <w:szCs w:val="28"/>
          <w:highlight w:val="none"/>
        </w:rPr>
      </w:pPr>
      <w:r>
        <w:rPr>
          <w:rFonts w:hint="eastAsia" w:ascii="仿宋" w:hAnsi="仿宋" w:eastAsia="仿宋"/>
          <w:b/>
          <w:sz w:val="28"/>
          <w:szCs w:val="28"/>
          <w:highlight w:val="none"/>
        </w:rPr>
        <w:t>着力优化物流营商环境。</w:t>
      </w:r>
      <w:r>
        <w:rPr>
          <w:rFonts w:hint="eastAsia" w:ascii="仿宋" w:hAnsi="仿宋" w:eastAsia="仿宋"/>
          <w:sz w:val="28"/>
          <w:szCs w:val="28"/>
          <w:highlight w:val="none"/>
        </w:rPr>
        <w:t>加大物流业市场监督管理力度，规范管理、提高效率，营造良好的政务环境。加强物流运营安全监督管理，建立健全物流市场诚信体系，研究出台运输物流行业失信联合惩戒对象“黑名单”管理办法，明确严重失信企业标准，构建政府层面失信惩戒机制。进一步激发市场主体活力，发挥社会组织作用，实现共建共治共享。</w:t>
      </w:r>
    </w:p>
    <w:p w14:paraId="46B73D94">
      <w:pPr>
        <w:pStyle w:val="3"/>
        <w:spacing w:before="0" w:after="0" w:line="360" w:lineRule="auto"/>
        <w:rPr>
          <w:rFonts w:ascii="仿宋" w:hAnsi="仿宋" w:eastAsia="仿宋"/>
          <w:sz w:val="30"/>
          <w:szCs w:val="30"/>
          <w:highlight w:val="none"/>
        </w:rPr>
      </w:pPr>
      <w:bookmarkStart w:id="155" w:name="_Toc4403"/>
      <w:bookmarkStart w:id="156" w:name="_Toc18341"/>
      <w:bookmarkStart w:id="157" w:name="_Toc28569"/>
      <w:bookmarkStart w:id="158" w:name="_Toc51009102"/>
      <w:r>
        <w:rPr>
          <w:rFonts w:hint="eastAsia" w:ascii="仿宋" w:hAnsi="仿宋" w:eastAsia="仿宋"/>
          <w:sz w:val="30"/>
          <w:szCs w:val="30"/>
          <w:highlight w:val="none"/>
        </w:rPr>
        <w:t>强化发展要素保障</w:t>
      </w:r>
      <w:bookmarkEnd w:id="155"/>
      <w:bookmarkEnd w:id="156"/>
      <w:bookmarkEnd w:id="157"/>
      <w:bookmarkEnd w:id="158"/>
    </w:p>
    <w:p w14:paraId="426F6E21">
      <w:pPr>
        <w:ind w:firstLine="562" w:firstLineChars="200"/>
        <w:rPr>
          <w:rFonts w:hint="eastAsia" w:ascii="仿宋" w:hAnsi="仿宋" w:eastAsia="仿宋"/>
          <w:sz w:val="28"/>
          <w:szCs w:val="28"/>
          <w:highlight w:val="none"/>
          <w:lang w:eastAsia="zh-CN"/>
        </w:rPr>
      </w:pPr>
      <w:r>
        <w:rPr>
          <w:rFonts w:hint="eastAsia" w:ascii="仿宋" w:hAnsi="仿宋" w:eastAsia="仿宋"/>
          <w:b/>
          <w:sz w:val="28"/>
          <w:szCs w:val="28"/>
          <w:highlight w:val="none"/>
        </w:rPr>
        <w:t>加大物流用地保障。</w:t>
      </w:r>
      <w:r>
        <w:rPr>
          <w:rFonts w:hint="eastAsia" w:ascii="仿宋" w:hAnsi="仿宋" w:eastAsia="仿宋"/>
          <w:sz w:val="28"/>
          <w:szCs w:val="28"/>
          <w:highlight w:val="none"/>
        </w:rPr>
        <w:t>落实和完善物流用地政策，保障物流用地规模，提高土地使用效率。对国家物流</w:t>
      </w:r>
      <w:r>
        <w:rPr>
          <w:rFonts w:hint="eastAsia" w:ascii="仿宋" w:hAnsi="仿宋" w:eastAsia="仿宋"/>
          <w:sz w:val="28"/>
          <w:szCs w:val="28"/>
          <w:highlight w:val="none"/>
          <w:lang w:eastAsia="zh-CN"/>
        </w:rPr>
        <w:t>中心</w:t>
      </w:r>
      <w:r>
        <w:rPr>
          <w:rFonts w:hint="eastAsia" w:ascii="仿宋" w:hAnsi="仿宋" w:eastAsia="仿宋"/>
          <w:sz w:val="28"/>
          <w:szCs w:val="28"/>
          <w:highlight w:val="none"/>
        </w:rPr>
        <w:t>、铁路专用线、冷链物流等重大物流基础设施和</w:t>
      </w:r>
      <w:r>
        <w:rPr>
          <w:rFonts w:hint="eastAsia" w:ascii="仿宋" w:hAnsi="仿宋" w:eastAsia="仿宋"/>
          <w:sz w:val="28"/>
          <w:szCs w:val="28"/>
          <w:highlight w:val="none"/>
          <w:lang w:val="en-US" w:eastAsia="zh-CN"/>
        </w:rPr>
        <w:t>县</w:t>
      </w:r>
      <w:r>
        <w:rPr>
          <w:rFonts w:hint="eastAsia" w:ascii="仿宋" w:hAnsi="仿宋" w:eastAsia="仿宋"/>
          <w:sz w:val="28"/>
          <w:szCs w:val="28"/>
          <w:highlight w:val="none"/>
        </w:rPr>
        <w:t>级重点物流项目，</w:t>
      </w:r>
      <w:r>
        <w:rPr>
          <w:rFonts w:hint="eastAsia" w:ascii="仿宋" w:hAnsi="仿宋" w:eastAsia="仿宋"/>
          <w:sz w:val="28"/>
          <w:szCs w:val="28"/>
          <w:highlight w:val="none"/>
          <w:lang w:eastAsia="zh-CN"/>
        </w:rPr>
        <w:t>予以用地保障。</w:t>
      </w:r>
    </w:p>
    <w:p w14:paraId="3D136A84">
      <w:pPr>
        <w:ind w:firstLine="562" w:firstLineChars="200"/>
        <w:rPr>
          <w:rFonts w:ascii="仿宋" w:hAnsi="仿宋" w:eastAsia="仿宋"/>
          <w:sz w:val="28"/>
          <w:szCs w:val="28"/>
          <w:highlight w:val="none"/>
        </w:rPr>
      </w:pPr>
      <w:r>
        <w:rPr>
          <w:rFonts w:hint="eastAsia" w:ascii="仿宋" w:hAnsi="仿宋" w:eastAsia="仿宋"/>
          <w:b/>
          <w:sz w:val="28"/>
          <w:szCs w:val="28"/>
          <w:highlight w:val="none"/>
        </w:rPr>
        <w:t>拓宽投融资渠道。</w:t>
      </w:r>
      <w:r>
        <w:rPr>
          <w:rFonts w:hint="eastAsia" w:ascii="仿宋" w:hAnsi="仿宋" w:eastAsia="仿宋"/>
          <w:sz w:val="28"/>
          <w:szCs w:val="28"/>
          <w:highlight w:val="none"/>
        </w:rPr>
        <w:t>鼓励金融机构创新物流金融服务产品，支持物流金融机构与物流企业合作开展仓单质押、存货质押、融资租赁、金融仓储、供应链金融以及票据融资等物流金融服务。鼓励发展基于供应链金融的商品交割业务。引导物流企业在境内外证券市场上市挂牌融资，推动符合条件的物流企业发行债券直接融资。加大财政资金对物流基础设施、信息平台、标准化示范等项目的支持力度，支持外资和民间资本参与物流项目建设。</w:t>
      </w:r>
    </w:p>
    <w:p w14:paraId="39AC093C">
      <w:pPr>
        <w:ind w:firstLine="562" w:firstLineChars="200"/>
        <w:rPr>
          <w:rFonts w:ascii="仿宋" w:hAnsi="仿宋" w:eastAsia="仿宋"/>
          <w:sz w:val="28"/>
          <w:szCs w:val="28"/>
          <w:highlight w:val="none"/>
        </w:rPr>
      </w:pPr>
      <w:r>
        <w:rPr>
          <w:rFonts w:hint="eastAsia" w:ascii="仿宋" w:hAnsi="仿宋" w:eastAsia="仿宋"/>
          <w:b/>
          <w:sz w:val="28"/>
          <w:szCs w:val="28"/>
          <w:highlight w:val="none"/>
        </w:rPr>
        <w:t>打造人才集聚高地。</w:t>
      </w:r>
      <w:r>
        <w:rPr>
          <w:rFonts w:hint="eastAsia" w:ascii="仿宋" w:hAnsi="仿宋" w:eastAsia="仿宋"/>
          <w:sz w:val="28"/>
          <w:szCs w:val="28"/>
          <w:highlight w:val="none"/>
        </w:rPr>
        <w:t>组建由地方政府、高等院校、科研院所、咨询机构、物流企业组成的战略合作联盟，完善物流学科体系和专业技术人才培养体系，探索联合培养人才的新模式。完善物流人才引进机制，吸引熟悉</w:t>
      </w:r>
      <w:r>
        <w:rPr>
          <w:rFonts w:hint="eastAsia" w:ascii="仿宋" w:hAnsi="仿宋" w:eastAsia="仿宋"/>
          <w:sz w:val="28"/>
          <w:szCs w:val="28"/>
          <w:highlight w:val="none"/>
          <w:lang w:val="en-US" w:eastAsia="zh-CN"/>
        </w:rPr>
        <w:t>国内</w:t>
      </w:r>
      <w:r>
        <w:rPr>
          <w:rFonts w:hint="eastAsia" w:ascii="仿宋" w:hAnsi="仿宋" w:eastAsia="仿宋"/>
          <w:sz w:val="28"/>
          <w:szCs w:val="28"/>
          <w:highlight w:val="none"/>
        </w:rPr>
        <w:t>物流通行规则、具有</w:t>
      </w:r>
      <w:r>
        <w:rPr>
          <w:rFonts w:hint="eastAsia" w:ascii="仿宋" w:hAnsi="仿宋" w:eastAsia="仿宋"/>
          <w:sz w:val="28"/>
          <w:szCs w:val="28"/>
          <w:highlight w:val="none"/>
          <w:lang w:val="en-US" w:eastAsia="zh-CN"/>
        </w:rPr>
        <w:t>全国</w:t>
      </w:r>
      <w:r>
        <w:rPr>
          <w:rFonts w:hint="eastAsia" w:ascii="仿宋" w:hAnsi="仿宋" w:eastAsia="仿宋"/>
          <w:sz w:val="28"/>
          <w:szCs w:val="28"/>
          <w:highlight w:val="none"/>
        </w:rPr>
        <w:t>物流运作能力、具备现代物流管理经验的高层次人才来</w:t>
      </w:r>
      <w:r>
        <w:rPr>
          <w:rFonts w:hint="eastAsia" w:ascii="仿宋" w:hAnsi="仿宋" w:eastAsia="仿宋"/>
          <w:sz w:val="28"/>
          <w:szCs w:val="28"/>
          <w:highlight w:val="none"/>
          <w:lang w:val="en-US" w:eastAsia="zh-CN"/>
        </w:rPr>
        <w:t>彰武</w:t>
      </w:r>
      <w:r>
        <w:rPr>
          <w:rFonts w:hint="eastAsia" w:ascii="仿宋" w:hAnsi="仿宋" w:eastAsia="仿宋"/>
          <w:sz w:val="28"/>
          <w:szCs w:val="28"/>
          <w:highlight w:val="none"/>
        </w:rPr>
        <w:t>发展兴业。</w:t>
      </w:r>
    </w:p>
    <w:p w14:paraId="08AFA321">
      <w:pPr>
        <w:pStyle w:val="3"/>
        <w:spacing w:before="0" w:after="0" w:line="360" w:lineRule="auto"/>
        <w:rPr>
          <w:rFonts w:ascii="仿宋" w:hAnsi="仿宋" w:eastAsia="仿宋"/>
          <w:sz w:val="30"/>
          <w:szCs w:val="30"/>
          <w:highlight w:val="none"/>
        </w:rPr>
      </w:pPr>
      <w:bookmarkStart w:id="159" w:name="_Toc51009103"/>
      <w:bookmarkStart w:id="160" w:name="_Toc3091"/>
      <w:bookmarkStart w:id="161" w:name="_Toc17357"/>
      <w:bookmarkStart w:id="162" w:name="_Toc3551"/>
      <w:r>
        <w:rPr>
          <w:rFonts w:hint="eastAsia" w:ascii="仿宋" w:hAnsi="仿宋" w:eastAsia="仿宋"/>
          <w:sz w:val="30"/>
          <w:szCs w:val="30"/>
          <w:highlight w:val="none"/>
        </w:rPr>
        <w:t>完善配套支撑体系</w:t>
      </w:r>
      <w:bookmarkEnd w:id="159"/>
      <w:bookmarkEnd w:id="160"/>
      <w:bookmarkEnd w:id="161"/>
      <w:bookmarkEnd w:id="162"/>
    </w:p>
    <w:p w14:paraId="0292BCD9">
      <w:pPr>
        <w:ind w:firstLine="562" w:firstLineChars="200"/>
        <w:rPr>
          <w:rFonts w:ascii="仿宋" w:hAnsi="仿宋" w:eastAsia="仿宋"/>
          <w:sz w:val="28"/>
          <w:szCs w:val="28"/>
          <w:highlight w:val="none"/>
        </w:rPr>
      </w:pPr>
      <w:r>
        <w:rPr>
          <w:rFonts w:hint="eastAsia" w:ascii="仿宋" w:hAnsi="仿宋" w:eastAsia="仿宋"/>
          <w:b/>
          <w:sz w:val="28"/>
          <w:szCs w:val="28"/>
          <w:highlight w:val="none"/>
        </w:rPr>
        <w:t>扩大政策支持力度。</w:t>
      </w:r>
      <w:r>
        <w:rPr>
          <w:rFonts w:hint="eastAsia" w:ascii="仿宋" w:hAnsi="仿宋" w:eastAsia="仿宋"/>
          <w:sz w:val="28"/>
          <w:szCs w:val="28"/>
          <w:highlight w:val="none"/>
        </w:rPr>
        <w:t>全面梳理国家、省市涉及物流领域减税降费各项扶持政策，协调推动惠企政策落地见效。</w:t>
      </w:r>
      <w:r>
        <w:rPr>
          <w:rFonts w:hint="eastAsia" w:ascii="仿宋" w:hAnsi="仿宋" w:eastAsia="仿宋"/>
          <w:sz w:val="28"/>
          <w:szCs w:val="28"/>
          <w:highlight w:val="none"/>
          <w:lang w:eastAsia="zh-CN"/>
        </w:rPr>
        <w:t>优</w:t>
      </w:r>
      <w:r>
        <w:rPr>
          <w:rFonts w:hint="eastAsia" w:ascii="仿宋" w:hAnsi="仿宋" w:eastAsia="仿宋"/>
          <w:sz w:val="28"/>
          <w:szCs w:val="28"/>
          <w:highlight w:val="none"/>
        </w:rPr>
        <w:t>化政策对物流业空间布局的引导，促进物流大平台建设，促进物流企业集聚发展。</w:t>
      </w:r>
    </w:p>
    <w:p w14:paraId="6650A68F">
      <w:pPr>
        <w:ind w:firstLine="562" w:firstLineChars="200"/>
        <w:rPr>
          <w:rFonts w:ascii="仿宋" w:hAnsi="仿宋" w:eastAsia="仿宋"/>
          <w:sz w:val="28"/>
          <w:szCs w:val="28"/>
          <w:highlight w:val="none"/>
        </w:rPr>
      </w:pPr>
      <w:r>
        <w:rPr>
          <w:rFonts w:hint="eastAsia" w:ascii="仿宋" w:hAnsi="仿宋" w:eastAsia="仿宋"/>
          <w:b/>
          <w:sz w:val="28"/>
          <w:szCs w:val="28"/>
          <w:highlight w:val="none"/>
        </w:rPr>
        <w:t>建立现代物流业统计制度。</w:t>
      </w:r>
      <w:r>
        <w:rPr>
          <w:rFonts w:hint="eastAsia" w:ascii="仿宋" w:hAnsi="仿宋" w:eastAsia="仿宋"/>
          <w:sz w:val="28"/>
          <w:szCs w:val="28"/>
          <w:highlight w:val="none"/>
        </w:rPr>
        <w:t>参照《国家发展改革委关于进一步加强社会物流统计工作的通知（发改运行〔2019〕758号）》，加快研究建立全</w:t>
      </w:r>
      <w:r>
        <w:rPr>
          <w:rFonts w:hint="eastAsia" w:ascii="仿宋" w:hAnsi="仿宋" w:eastAsia="仿宋"/>
          <w:sz w:val="28"/>
          <w:szCs w:val="28"/>
          <w:highlight w:val="none"/>
          <w:lang w:val="en-US" w:eastAsia="zh-CN"/>
        </w:rPr>
        <w:t>县</w:t>
      </w:r>
      <w:r>
        <w:rPr>
          <w:rFonts w:hint="eastAsia" w:ascii="仿宋" w:hAnsi="仿宋" w:eastAsia="仿宋"/>
          <w:sz w:val="28"/>
          <w:szCs w:val="28"/>
          <w:highlight w:val="none"/>
        </w:rPr>
        <w:t>物流行业统计机制，研究完善反映物流重点领域、重点环节发展的监测指标体系。加大对物流统计体系建设的支持力度，加强物流统计基础工作，开展物流统计理论和方法的研究，推动健全</w:t>
      </w:r>
      <w:r>
        <w:rPr>
          <w:rFonts w:hint="eastAsia" w:ascii="仿宋" w:hAnsi="仿宋" w:eastAsia="仿宋"/>
          <w:sz w:val="28"/>
          <w:szCs w:val="28"/>
          <w:highlight w:val="none"/>
          <w:lang w:eastAsia="zh-CN"/>
        </w:rPr>
        <w:t>彰武</w:t>
      </w:r>
      <w:r>
        <w:rPr>
          <w:rFonts w:hint="eastAsia" w:ascii="仿宋" w:hAnsi="仿宋" w:eastAsia="仿宋"/>
          <w:sz w:val="28"/>
          <w:szCs w:val="28"/>
          <w:highlight w:val="none"/>
        </w:rPr>
        <w:t>现代物流业统计监测制度。</w:t>
      </w:r>
    </w:p>
    <w:p w14:paraId="780EE493">
      <w:pPr>
        <w:ind w:firstLine="562" w:firstLineChars="200"/>
        <w:rPr>
          <w:rFonts w:ascii="仿宋" w:hAnsi="仿宋" w:eastAsia="仿宋"/>
          <w:sz w:val="28"/>
          <w:szCs w:val="28"/>
          <w:highlight w:val="none"/>
        </w:rPr>
      </w:pPr>
      <w:r>
        <w:rPr>
          <w:rFonts w:hint="eastAsia" w:ascii="仿宋" w:hAnsi="仿宋" w:eastAsia="仿宋"/>
          <w:b/>
          <w:sz w:val="28"/>
          <w:szCs w:val="28"/>
          <w:highlight w:val="none"/>
        </w:rPr>
        <w:t>完善城市物流标准化服务体系。</w:t>
      </w:r>
      <w:r>
        <w:rPr>
          <w:rFonts w:hint="eastAsia" w:ascii="仿宋" w:hAnsi="仿宋" w:eastAsia="仿宋"/>
          <w:sz w:val="28"/>
          <w:szCs w:val="28"/>
          <w:highlight w:val="none"/>
        </w:rPr>
        <w:t>以航空货运、多式联运、电子快递等重点行业为切入，以托盘标准化、甩挂运输及物流服务标准化、物流信息平台互通共享为主要内容推动物流标准化运作。鼓励物流企业参与国家、省、行业和地方物流标准的制定与实施工作。支持在航空货运服务等优势领域，编制地方标准，构建协调完善的城市物流标准化服务体系。</w:t>
      </w:r>
    </w:p>
    <w:p w14:paraId="6B1AC317">
      <w:pPr>
        <w:pStyle w:val="3"/>
        <w:spacing w:before="0" w:after="0" w:line="360" w:lineRule="auto"/>
        <w:rPr>
          <w:rFonts w:ascii="仿宋" w:hAnsi="仿宋" w:eastAsia="仿宋"/>
          <w:sz w:val="30"/>
          <w:szCs w:val="30"/>
          <w:highlight w:val="none"/>
        </w:rPr>
      </w:pPr>
      <w:bookmarkStart w:id="163" w:name="_Toc9010"/>
      <w:bookmarkStart w:id="164" w:name="_Toc9542"/>
      <w:bookmarkStart w:id="165" w:name="_Toc32173"/>
      <w:bookmarkStart w:id="166" w:name="_Toc51009104"/>
      <w:r>
        <w:rPr>
          <w:rFonts w:hint="eastAsia" w:ascii="仿宋" w:hAnsi="仿宋" w:eastAsia="仿宋"/>
          <w:sz w:val="30"/>
          <w:szCs w:val="30"/>
          <w:highlight w:val="none"/>
        </w:rPr>
        <w:t>发挥社会组织作用</w:t>
      </w:r>
      <w:bookmarkEnd w:id="163"/>
      <w:bookmarkEnd w:id="164"/>
      <w:bookmarkEnd w:id="165"/>
      <w:bookmarkEnd w:id="166"/>
    </w:p>
    <w:p w14:paraId="196E8DE8">
      <w:pPr>
        <w:rPr>
          <w:rFonts w:hint="default"/>
          <w:highlight w:val="none"/>
          <w:lang w:val="en-US" w:eastAsia="zh-CN"/>
        </w:rPr>
      </w:pPr>
      <w:r>
        <w:rPr>
          <w:rFonts w:hint="eastAsia" w:ascii="仿宋" w:hAnsi="仿宋" w:eastAsia="仿宋"/>
          <w:sz w:val="28"/>
          <w:szCs w:val="28"/>
          <w:highlight w:val="none"/>
        </w:rPr>
        <w:t>切实发挥社会组织的桥梁作用。鼓励行业协会</w:t>
      </w:r>
      <w:r>
        <w:rPr>
          <w:rFonts w:hint="eastAsia" w:ascii="仿宋" w:hAnsi="仿宋" w:eastAsia="仿宋"/>
          <w:sz w:val="28"/>
          <w:szCs w:val="28"/>
          <w:highlight w:val="none"/>
          <w:lang w:eastAsia="zh-CN"/>
        </w:rPr>
        <w:t>等社会组织</w:t>
      </w:r>
      <w:r>
        <w:rPr>
          <w:rFonts w:hint="eastAsia" w:ascii="仿宋" w:hAnsi="仿宋" w:eastAsia="仿宋"/>
          <w:sz w:val="28"/>
          <w:szCs w:val="28"/>
          <w:highlight w:val="none"/>
        </w:rPr>
        <w:t>与高校、研究机构加强合作，设立培训基地与研发机构。提升</w:t>
      </w:r>
      <w:r>
        <w:rPr>
          <w:rFonts w:hint="eastAsia" w:ascii="仿宋" w:hAnsi="仿宋" w:eastAsia="仿宋"/>
          <w:sz w:val="28"/>
          <w:szCs w:val="28"/>
          <w:highlight w:val="none"/>
          <w:lang w:val="en-US" w:eastAsia="zh-CN"/>
        </w:rPr>
        <w:t>彰武记忆、哈尔套大集、彰武绿色果蔬等行业或产品的</w:t>
      </w:r>
      <w:r>
        <w:rPr>
          <w:rFonts w:hint="eastAsia" w:ascii="仿宋" w:hAnsi="仿宋" w:eastAsia="仿宋"/>
          <w:sz w:val="28"/>
          <w:szCs w:val="28"/>
          <w:highlight w:val="none"/>
        </w:rPr>
        <w:t>影响力，培育打造具有较大区域影响力的品牌会展活动，打造区域性</w:t>
      </w:r>
      <w:r>
        <w:rPr>
          <w:rFonts w:hint="eastAsia" w:ascii="仿宋" w:hAnsi="仿宋" w:eastAsia="仿宋"/>
          <w:sz w:val="28"/>
          <w:szCs w:val="28"/>
          <w:highlight w:val="none"/>
          <w:lang w:val="en-US" w:eastAsia="zh-CN"/>
        </w:rPr>
        <w:t>乃至全国性会展</w:t>
      </w:r>
      <w:r>
        <w:rPr>
          <w:rFonts w:hint="eastAsia" w:ascii="仿宋" w:hAnsi="仿宋" w:eastAsia="仿宋"/>
          <w:sz w:val="28"/>
          <w:szCs w:val="28"/>
          <w:highlight w:val="none"/>
        </w:rPr>
        <w:t>。鼓励社会组织积极承担事务性管理服务，包括组织物流职业培训，组织国家A级和省星级物流企业的评定申报等。引导企业自律，宣传推广物流企业，打造</w:t>
      </w:r>
      <w:r>
        <w:rPr>
          <w:rFonts w:hint="eastAsia" w:ascii="仿宋" w:hAnsi="仿宋" w:eastAsia="仿宋"/>
          <w:sz w:val="28"/>
          <w:szCs w:val="28"/>
          <w:highlight w:val="none"/>
          <w:lang w:eastAsia="zh-CN"/>
        </w:rPr>
        <w:t>彰武</w:t>
      </w:r>
      <w:r>
        <w:rPr>
          <w:rFonts w:hint="eastAsia" w:ascii="仿宋" w:hAnsi="仿宋" w:eastAsia="仿宋"/>
          <w:sz w:val="28"/>
          <w:szCs w:val="28"/>
          <w:highlight w:val="none"/>
        </w:rPr>
        <w:t>物流品牌，推动行业健康发展</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KSOF8080F95D">
    <w:panose1 w:val="020B0503020204020204"/>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A7A8B">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028E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54028E7">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564C5">
    <w:pPr>
      <w:ind w:left="0" w:leftChars="0" w:firstLine="0" w:firstLineChars="0"/>
      <w:jc w:val="both"/>
      <w:outlineLvl w:val="0"/>
      <w:rPr>
        <w:rFonts w:hint="default"/>
        <w:b/>
        <w:bCs/>
        <w:sz w:val="18"/>
        <w:szCs w:val="18"/>
        <w:highlight w:val="none"/>
        <w:u w:val="single"/>
        <w:lang w:val="en-US" w:eastAsia="zh-CN"/>
      </w:rPr>
    </w:pPr>
    <w:r>
      <w:rPr>
        <w:rFonts w:hint="eastAsia"/>
        <w:b/>
        <w:bCs/>
        <w:sz w:val="18"/>
        <w:szCs w:val="18"/>
        <w:highlight w:val="none"/>
        <w:u w:val="single"/>
        <w:lang w:val="en-US" w:eastAsia="zh-CN"/>
      </w:rPr>
      <w:t>彰武县物流专项规划（2024-2035）                                                     说明书</w:t>
    </w:r>
  </w:p>
  <w:p w14:paraId="2670D739">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BB8A09"/>
    <w:multiLevelType w:val="singleLevel"/>
    <w:tmpl w:val="A3BB8A09"/>
    <w:lvl w:ilvl="0" w:tentative="0">
      <w:start w:val="1"/>
      <w:numFmt w:val="decimal"/>
      <w:lvlText w:val="%1."/>
      <w:lvlJc w:val="left"/>
      <w:pPr>
        <w:ind w:left="425" w:hanging="425"/>
      </w:pPr>
      <w:rPr>
        <w:rFonts w:hint="default"/>
      </w:rPr>
    </w:lvl>
  </w:abstractNum>
  <w:abstractNum w:abstractNumId="1">
    <w:nsid w:val="B435A329"/>
    <w:multiLevelType w:val="singleLevel"/>
    <w:tmpl w:val="B435A329"/>
    <w:lvl w:ilvl="0" w:tentative="0">
      <w:start w:val="1"/>
      <w:numFmt w:val="decimal"/>
      <w:suff w:val="nothing"/>
      <w:lvlText w:val="%1、"/>
      <w:lvlJc w:val="left"/>
    </w:lvl>
  </w:abstractNum>
  <w:abstractNum w:abstractNumId="2">
    <w:nsid w:val="CF7C13AF"/>
    <w:multiLevelType w:val="singleLevel"/>
    <w:tmpl w:val="CF7C13AF"/>
    <w:lvl w:ilvl="0" w:tentative="0">
      <w:start w:val="1"/>
      <w:numFmt w:val="decimal"/>
      <w:suff w:val="nothing"/>
      <w:lvlText w:val="（%1）"/>
      <w:lvlJc w:val="left"/>
    </w:lvl>
  </w:abstractNum>
  <w:abstractNum w:abstractNumId="3">
    <w:nsid w:val="E1507786"/>
    <w:multiLevelType w:val="multilevel"/>
    <w:tmpl w:val="E1507786"/>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4">
    <w:nsid w:val="51D283CB"/>
    <w:multiLevelType w:val="singleLevel"/>
    <w:tmpl w:val="51D283CB"/>
    <w:lvl w:ilvl="0" w:tentative="0">
      <w:start w:val="1"/>
      <w:numFmt w:val="decimal"/>
      <w:lvlText w:val="%1."/>
      <w:lvlJc w:val="left"/>
      <w:pPr>
        <w:ind w:left="425" w:hanging="425"/>
      </w:pPr>
      <w:rPr>
        <w:rFonts w:hint="default"/>
      </w:rPr>
    </w:lvl>
  </w:abstractNum>
  <w:abstractNum w:abstractNumId="5">
    <w:nsid w:val="76B1DEEE"/>
    <w:multiLevelType w:val="singleLevel"/>
    <w:tmpl w:val="76B1DEEE"/>
    <w:lvl w:ilvl="0" w:tentative="0">
      <w:start w:val="1"/>
      <w:numFmt w:val="decimal"/>
      <w:suff w:val="nothing"/>
      <w:lvlText w:val="%1、"/>
      <w:lvlJc w:val="left"/>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NmQ1MDkyMTlkN2ExY2U3YjQzMjhjZmU5OGFmMGYifQ=="/>
  </w:docVars>
  <w:rsids>
    <w:rsidRoot w:val="20FF72F7"/>
    <w:rsid w:val="005E7A94"/>
    <w:rsid w:val="01664743"/>
    <w:rsid w:val="01C27A59"/>
    <w:rsid w:val="02BB0822"/>
    <w:rsid w:val="02C52286"/>
    <w:rsid w:val="03B14776"/>
    <w:rsid w:val="03D1158F"/>
    <w:rsid w:val="03DF1624"/>
    <w:rsid w:val="049607C6"/>
    <w:rsid w:val="0779110F"/>
    <w:rsid w:val="08A869D2"/>
    <w:rsid w:val="08EE07C2"/>
    <w:rsid w:val="096535C8"/>
    <w:rsid w:val="0CFE46F5"/>
    <w:rsid w:val="0D651406"/>
    <w:rsid w:val="0DD73C46"/>
    <w:rsid w:val="10C324FF"/>
    <w:rsid w:val="11544749"/>
    <w:rsid w:val="12EE77D3"/>
    <w:rsid w:val="150125A2"/>
    <w:rsid w:val="17873748"/>
    <w:rsid w:val="201D66BB"/>
    <w:rsid w:val="20FF72F7"/>
    <w:rsid w:val="21B433D5"/>
    <w:rsid w:val="21F77643"/>
    <w:rsid w:val="2372210F"/>
    <w:rsid w:val="26215400"/>
    <w:rsid w:val="26C10723"/>
    <w:rsid w:val="296D5DE0"/>
    <w:rsid w:val="29B42C36"/>
    <w:rsid w:val="2A8A68EE"/>
    <w:rsid w:val="2C9F4F60"/>
    <w:rsid w:val="2F091204"/>
    <w:rsid w:val="2F8F7ACA"/>
    <w:rsid w:val="306F29EE"/>
    <w:rsid w:val="32E90714"/>
    <w:rsid w:val="33286F3B"/>
    <w:rsid w:val="33346D74"/>
    <w:rsid w:val="33BB719D"/>
    <w:rsid w:val="347355E7"/>
    <w:rsid w:val="34E43698"/>
    <w:rsid w:val="3CC35237"/>
    <w:rsid w:val="3E620776"/>
    <w:rsid w:val="402414C2"/>
    <w:rsid w:val="40B645F0"/>
    <w:rsid w:val="41305C04"/>
    <w:rsid w:val="435314FB"/>
    <w:rsid w:val="43F3282B"/>
    <w:rsid w:val="444D20D9"/>
    <w:rsid w:val="44DD159D"/>
    <w:rsid w:val="46423D53"/>
    <w:rsid w:val="475D52BE"/>
    <w:rsid w:val="487755D8"/>
    <w:rsid w:val="49584F34"/>
    <w:rsid w:val="49AC2C0D"/>
    <w:rsid w:val="4AAF47EE"/>
    <w:rsid w:val="4ADE53B7"/>
    <w:rsid w:val="4C2801A5"/>
    <w:rsid w:val="4DBC0187"/>
    <w:rsid w:val="4FD83271"/>
    <w:rsid w:val="517A073C"/>
    <w:rsid w:val="52C93F72"/>
    <w:rsid w:val="531445C2"/>
    <w:rsid w:val="539A4AC7"/>
    <w:rsid w:val="55633FD7"/>
    <w:rsid w:val="55847D00"/>
    <w:rsid w:val="55D772EF"/>
    <w:rsid w:val="57701239"/>
    <w:rsid w:val="590749DD"/>
    <w:rsid w:val="5BE90B9B"/>
    <w:rsid w:val="5C5428EC"/>
    <w:rsid w:val="5DD23799"/>
    <w:rsid w:val="60CE7B5E"/>
    <w:rsid w:val="639A5746"/>
    <w:rsid w:val="63B35955"/>
    <w:rsid w:val="644C3BBB"/>
    <w:rsid w:val="64552344"/>
    <w:rsid w:val="668B09CB"/>
    <w:rsid w:val="67B049DA"/>
    <w:rsid w:val="684A1623"/>
    <w:rsid w:val="68933ADD"/>
    <w:rsid w:val="69817394"/>
    <w:rsid w:val="69B96AAA"/>
    <w:rsid w:val="6A6946C7"/>
    <w:rsid w:val="6ABF4DAA"/>
    <w:rsid w:val="6CC3478D"/>
    <w:rsid w:val="6E4F001F"/>
    <w:rsid w:val="71861BFB"/>
    <w:rsid w:val="71C31E24"/>
    <w:rsid w:val="72C27DBF"/>
    <w:rsid w:val="73215438"/>
    <w:rsid w:val="74F15A1D"/>
    <w:rsid w:val="78C93BB8"/>
    <w:rsid w:val="7E795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ascii="仿宋_GB2312" w:hAnsi="仿宋_GB2312" w:eastAsia="仿宋_GB2312" w:cstheme="minorBidi"/>
      <w:kern w:val="2"/>
      <w:sz w:val="28"/>
      <w:szCs w:val="24"/>
      <w:lang w:val="en-US" w:eastAsia="zh-CN" w:bidi="ar-SA"/>
    </w:rPr>
  </w:style>
  <w:style w:type="paragraph" w:styleId="2">
    <w:name w:val="heading 1"/>
    <w:basedOn w:val="1"/>
    <w:next w:val="1"/>
    <w:qFormat/>
    <w:uiPriority w:val="0"/>
    <w:pPr>
      <w:keepNext/>
      <w:keepLines/>
      <w:numPr>
        <w:ilvl w:val="0"/>
        <w:numId w:val="1"/>
      </w:numPr>
      <w:spacing w:beforeLines="0" w:beforeAutospacing="0" w:afterLines="0" w:afterAutospacing="0" w:line="360" w:lineRule="auto"/>
      <w:ind w:left="0" w:firstLine="0" w:firstLineChars="0"/>
      <w:outlineLvl w:val="0"/>
    </w:pPr>
    <w:rPr>
      <w:rFonts w:ascii="黑体" w:hAnsi="黑体" w:eastAsia="黑体"/>
      <w:b/>
      <w:kern w:val="44"/>
      <w:sz w:val="32"/>
    </w:rPr>
  </w:style>
  <w:style w:type="paragraph" w:styleId="3">
    <w:name w:val="heading 2"/>
    <w:basedOn w:val="1"/>
    <w:next w:val="1"/>
    <w:unhideWhenUsed/>
    <w:qFormat/>
    <w:uiPriority w:val="0"/>
    <w:pPr>
      <w:keepNext/>
      <w:keepLines/>
      <w:numPr>
        <w:ilvl w:val="1"/>
        <w:numId w:val="1"/>
      </w:numPr>
      <w:spacing w:beforeLines="0" w:beforeAutospacing="0" w:afterLines="0" w:afterAutospacing="0" w:line="360" w:lineRule="auto"/>
      <w:ind w:left="0" w:firstLine="0" w:firstLineChars="0"/>
      <w:outlineLvl w:val="1"/>
    </w:pPr>
    <w:rPr>
      <w:rFonts w:ascii="楷体_GB2312" w:hAnsi="楷体_GB2312" w:eastAsia="楷体_GB2312"/>
      <w:b/>
      <w:sz w:val="32"/>
    </w:rPr>
  </w:style>
  <w:style w:type="paragraph" w:styleId="4">
    <w:name w:val="heading 3"/>
    <w:basedOn w:val="1"/>
    <w:next w:val="1"/>
    <w:unhideWhenUsed/>
    <w:qFormat/>
    <w:uiPriority w:val="0"/>
    <w:pPr>
      <w:keepNext/>
      <w:keepLines/>
      <w:numPr>
        <w:ilvl w:val="2"/>
        <w:numId w:val="1"/>
      </w:numPr>
      <w:spacing w:beforeLines="0" w:beforeAutospacing="0" w:afterLines="0" w:afterAutospacing="0" w:line="360" w:lineRule="auto"/>
      <w:ind w:left="0" w:firstLine="0" w:firstLineChars="0"/>
      <w:outlineLvl w:val="2"/>
    </w:pPr>
    <w:rPr>
      <w:b/>
      <w:sz w:val="30"/>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11">
    <w:name w:val="caption"/>
    <w:basedOn w:val="1"/>
    <w:next w:val="1"/>
    <w:unhideWhenUsed/>
    <w:qFormat/>
    <w:uiPriority w:val="0"/>
    <w:pPr>
      <w:ind w:firstLine="0" w:firstLineChars="0"/>
      <w:jc w:val="center"/>
    </w:pPr>
    <w:rPr>
      <w:rFonts w:ascii="Arial" w:hAnsi="Arial" w:eastAsia="黑体"/>
      <w:b/>
      <w:bCs/>
      <w:sz w:val="24"/>
    </w:rPr>
  </w:style>
  <w:style w:type="paragraph" w:styleId="12">
    <w:name w:val="Body Text"/>
    <w:basedOn w:val="1"/>
    <w:qFormat/>
    <w:uiPriority w:val="1"/>
    <w:pPr>
      <w:ind w:left="160"/>
    </w:pPr>
    <w:rPr>
      <w:rFonts w:ascii="宋体" w:hAnsi="宋体" w:eastAsia="仿宋_GB2312"/>
      <w:kern w:val="0"/>
      <w:sz w:val="24"/>
      <w:szCs w:val="31"/>
      <w:lang w:eastAsia="en-US"/>
    </w:rPr>
  </w:style>
  <w:style w:type="paragraph" w:styleId="13">
    <w:name w:val="Body Text Indent"/>
    <w:basedOn w:val="1"/>
    <w:next w:val="1"/>
    <w:qFormat/>
    <w:uiPriority w:val="0"/>
    <w:pPr>
      <w:spacing w:after="120"/>
      <w:ind w:left="420" w:leftChars="200"/>
    </w:p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2"/>
    <w:basedOn w:val="13"/>
    <w:next w:val="1"/>
    <w:qFormat/>
    <w:uiPriority w:val="0"/>
    <w:pPr>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4">
    <w:name w:val="图表名称"/>
    <w:basedOn w:val="1"/>
    <w:qFormat/>
    <w:uiPriority w:val="0"/>
    <w:pPr>
      <w:ind w:firstLine="0" w:firstLineChars="0"/>
      <w:jc w:val="center"/>
    </w:pPr>
    <w:rPr>
      <w:b/>
      <w:sz w:val="24"/>
    </w:rPr>
  </w:style>
  <w:style w:type="paragraph" w:customStyle="1" w:styleId="25">
    <w:name w:val="表"/>
    <w:basedOn w:val="1"/>
    <w:qFormat/>
    <w:uiPriority w:val="0"/>
    <w:pPr>
      <w:widowControl/>
      <w:spacing w:beforeAutospacing="1" w:afterAutospacing="1"/>
      <w:ind w:firstLine="0" w:firstLineChars="0"/>
      <w:jc w:val="center"/>
    </w:pPr>
    <w:rPr>
      <w:rFonts w:ascii="微软雅黑" w:hAnsi="微软雅黑" w:cs="微软雅黑"/>
      <w:color w:val="000000" w:themeColor="text1"/>
      <w:kern w:val="0"/>
      <w:sz w:val="24"/>
      <w:szCs w:val="32"/>
      <w:lang w:bidi="ar"/>
      <w14:textFill>
        <w14:solidFill>
          <w14:schemeClr w14:val="tx1"/>
        </w14:solidFill>
      </w14:textFill>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33.jpeg"/><Relationship Id="rId4" Type="http://schemas.openxmlformats.org/officeDocument/2006/relationships/endnotes" Target="endnotes.xml"/><Relationship Id="rId39" Type="http://schemas.openxmlformats.org/officeDocument/2006/relationships/image" Target="media/image32.jpeg"/><Relationship Id="rId38" Type="http://schemas.openxmlformats.org/officeDocument/2006/relationships/image" Target="media/image31.jpe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jpeg"/><Relationship Id="rId30" Type="http://schemas.openxmlformats.org/officeDocument/2006/relationships/image" Target="media/image23.jpeg"/><Relationship Id="rId3" Type="http://schemas.openxmlformats.org/officeDocument/2006/relationships/footnotes" Target="footnotes.xml"/><Relationship Id="rId29" Type="http://schemas.openxmlformats.org/officeDocument/2006/relationships/image" Target="media/image22.jpeg"/><Relationship Id="rId28" Type="http://schemas.openxmlformats.org/officeDocument/2006/relationships/image" Target="media/image21.jpeg"/><Relationship Id="rId27" Type="http://schemas.openxmlformats.org/officeDocument/2006/relationships/image" Target="media/image20.jpe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15081</Words>
  <Characters>15656</Characters>
  <Lines>0</Lines>
  <Paragraphs>0</Paragraphs>
  <TotalTime>10</TotalTime>
  <ScaleCrop>false</ScaleCrop>
  <LinksUpToDate>false</LinksUpToDate>
  <CharactersWithSpaces>15736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2024-05-07T08:10:00Z</dcterms:created>
  <dc:creator>张喆</dc:creator>
  <cp:lastModifiedBy>WPS_1702967806</cp:lastModifiedBy>
  <dcterms:modified xsi:type="dcterms:W3CDTF">2026-07-20T03:27:17Z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6A2DC729A1C24132B01495FEA5B8D60D_13</vt:lpwstr>
  </property>
  <property fmtid="{D5CDD505-2E9C-101B-9397-08002B2CF9AE}" pid="4" name="KSOTemplateDocerSaveRecord">
    <vt:lpwstr>eyJoZGlkIjoiMmMwNmQ1MDkyMTlkN2ExY2U3YjQzMjhjZmU5OGFmMGYiLCJ1c2VySWQiOiIxNTY1NDQ0NTM1In0=</vt:lpwstr>
  </property>
</Properties>
</file>