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48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4"/>
          <w:szCs w:val="34"/>
        </w:rPr>
        <w:t>彰政办发〔20</w:t>
      </w:r>
      <w:r>
        <w:rPr>
          <w:rFonts w:hint="eastAsia" w:ascii="黑体" w:hAnsi="黑体" w:eastAsia="黑体" w:cs="黑体"/>
          <w:color w:val="000000"/>
          <w:sz w:val="34"/>
          <w:szCs w:val="34"/>
          <w:lang w:val="en-US" w:eastAsia="zh-CN"/>
        </w:rPr>
        <w:t>26</w:t>
      </w:r>
      <w:r>
        <w:rPr>
          <w:rFonts w:hint="eastAsia" w:ascii="黑体" w:hAnsi="黑体" w:eastAsia="黑体" w:cs="黑体"/>
          <w:color w:val="000000"/>
          <w:sz w:val="34"/>
          <w:szCs w:val="34"/>
        </w:rPr>
        <w:t>〕</w:t>
      </w:r>
      <w:r>
        <w:rPr>
          <w:rFonts w:hint="eastAsia" w:ascii="黑体" w:hAnsi="黑体" w:eastAsia="黑体" w:cs="黑体"/>
          <w:color w:val="000000"/>
          <w:sz w:val="34"/>
          <w:szCs w:val="34"/>
          <w:lang w:val="en-US" w:eastAsia="zh-CN"/>
        </w:rPr>
        <w:t>2</w:t>
      </w:r>
      <w:r>
        <w:rPr>
          <w:rFonts w:hint="eastAsia" w:ascii="黑体" w:hAnsi="黑体" w:eastAsia="黑体" w:cs="黑体"/>
          <w:color w:val="000000"/>
          <w:sz w:val="34"/>
          <w:szCs w:val="34"/>
        </w:rPr>
        <w:t>号附件</w:t>
      </w:r>
    </w:p>
    <w:p w14:paraId="47AC0564">
      <w:pPr>
        <w:adjustRightInd w:val="0"/>
        <w:snapToGrid w:val="0"/>
        <w:jc w:val="center"/>
        <w:rPr>
          <w:rFonts w:hint="eastAsia" w:ascii="方正小标宋简体" w:hAnsi="Times New Roman" w:eastAsia="方正小标宋简体" w:cs="Times New Roman"/>
          <w:sz w:val="44"/>
          <w:szCs w:val="44"/>
          <w:highlight w:val="none"/>
        </w:rPr>
      </w:pPr>
      <w:r>
        <w:rPr>
          <w:rFonts w:hint="eastAsia" w:ascii="方正小标宋简体" w:hAnsi="Times New Roman" w:eastAsia="方正小标宋简体" w:cs="Times New Roman"/>
          <w:sz w:val="44"/>
          <w:szCs w:val="44"/>
          <w:highlight w:val="none"/>
        </w:rPr>
        <w:t>彰武县人民政府有关部门2026年度涉企行政检查计划表</w:t>
      </w:r>
    </w:p>
    <w:tbl>
      <w:tblPr>
        <w:tblStyle w:val="8"/>
        <w:tblW w:w="14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356"/>
        <w:gridCol w:w="2136"/>
        <w:gridCol w:w="2544"/>
        <w:gridCol w:w="3168"/>
        <w:gridCol w:w="1752"/>
        <w:gridCol w:w="1307"/>
        <w:gridCol w:w="1472"/>
      </w:tblGrid>
      <w:tr w14:paraId="51A1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7864A5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序号</w:t>
            </w:r>
          </w:p>
        </w:tc>
        <w:tc>
          <w:tcPr>
            <w:tcW w:w="1356" w:type="dxa"/>
            <w:tcBorders>
              <w:tl2br w:val="nil"/>
              <w:tr2bl w:val="nil"/>
            </w:tcBorders>
            <w:noWrap/>
            <w:vAlign w:val="center"/>
          </w:tcPr>
          <w:p w14:paraId="5C536F6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行政执法机关</w:t>
            </w:r>
          </w:p>
        </w:tc>
        <w:tc>
          <w:tcPr>
            <w:tcW w:w="2136" w:type="dxa"/>
            <w:tcBorders>
              <w:tl2br w:val="nil"/>
              <w:tr2bl w:val="nil"/>
            </w:tcBorders>
            <w:noWrap/>
            <w:vAlign w:val="center"/>
          </w:tcPr>
          <w:p w14:paraId="753E0C4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检查对象</w:t>
            </w:r>
          </w:p>
        </w:tc>
        <w:tc>
          <w:tcPr>
            <w:tcW w:w="2544" w:type="dxa"/>
            <w:tcBorders>
              <w:tl2br w:val="nil"/>
              <w:tr2bl w:val="nil"/>
            </w:tcBorders>
            <w:noWrap/>
            <w:vAlign w:val="center"/>
          </w:tcPr>
          <w:p w14:paraId="74AB905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检查内容</w:t>
            </w:r>
          </w:p>
        </w:tc>
        <w:tc>
          <w:tcPr>
            <w:tcW w:w="3168" w:type="dxa"/>
            <w:tcBorders>
              <w:tl2br w:val="nil"/>
              <w:tr2bl w:val="nil"/>
            </w:tcBorders>
            <w:noWrap/>
            <w:vAlign w:val="center"/>
          </w:tcPr>
          <w:p w14:paraId="5C7777A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检查依据</w:t>
            </w:r>
          </w:p>
        </w:tc>
        <w:tc>
          <w:tcPr>
            <w:tcW w:w="1752" w:type="dxa"/>
            <w:tcBorders>
              <w:tl2br w:val="nil"/>
              <w:tr2bl w:val="nil"/>
            </w:tcBorders>
            <w:noWrap/>
            <w:vAlign w:val="center"/>
          </w:tcPr>
          <w:p w14:paraId="3E653C7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检查时间</w:t>
            </w:r>
          </w:p>
        </w:tc>
        <w:tc>
          <w:tcPr>
            <w:tcW w:w="1307" w:type="dxa"/>
            <w:tcBorders>
              <w:tl2br w:val="nil"/>
              <w:tr2bl w:val="nil"/>
            </w:tcBorders>
            <w:noWrap/>
            <w:vAlign w:val="center"/>
          </w:tcPr>
          <w:p w14:paraId="6DB1238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检查方式</w:t>
            </w:r>
          </w:p>
        </w:tc>
        <w:tc>
          <w:tcPr>
            <w:tcW w:w="1472" w:type="dxa"/>
            <w:tcBorders>
              <w:tl2br w:val="nil"/>
              <w:tr2bl w:val="nil"/>
            </w:tcBorders>
            <w:noWrap/>
            <w:vAlign w:val="center"/>
          </w:tcPr>
          <w:p w14:paraId="2924891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lang w:eastAsia="zh-CN"/>
              </w:rPr>
            </w:pPr>
            <w:r>
              <w:rPr>
                <w:rFonts w:hint="eastAsia" w:ascii="黑体" w:hAnsi="黑体" w:eastAsia="黑体" w:cs="黑体"/>
                <w:color w:val="000000"/>
                <w:kern w:val="0"/>
                <w:sz w:val="30"/>
                <w:szCs w:val="30"/>
                <w:highlight w:val="none"/>
                <w:lang w:eastAsia="zh-CN"/>
              </w:rPr>
              <w:t>是否联合</w:t>
            </w:r>
          </w:p>
          <w:p w14:paraId="0FDDD509">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lang w:eastAsia="zh-CN"/>
              </w:rPr>
            </w:pPr>
            <w:r>
              <w:rPr>
                <w:rFonts w:hint="eastAsia" w:ascii="黑体" w:hAnsi="黑体" w:eastAsia="黑体" w:cs="黑体"/>
                <w:color w:val="000000"/>
                <w:kern w:val="0"/>
                <w:sz w:val="30"/>
                <w:szCs w:val="30"/>
                <w:highlight w:val="none"/>
                <w:lang w:eastAsia="zh-CN"/>
              </w:rPr>
              <w:t>联合部门</w:t>
            </w:r>
          </w:p>
        </w:tc>
      </w:tr>
      <w:tr w14:paraId="4343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75F228AC">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1</w:t>
            </w:r>
          </w:p>
        </w:tc>
        <w:tc>
          <w:tcPr>
            <w:tcW w:w="1356" w:type="dxa"/>
            <w:tcBorders>
              <w:tl2br w:val="nil"/>
              <w:tr2bl w:val="nil"/>
            </w:tcBorders>
            <w:noWrap/>
            <w:vAlign w:val="center"/>
          </w:tcPr>
          <w:p w14:paraId="2ED8C16E">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彰武县发展和改革局</w:t>
            </w:r>
          </w:p>
        </w:tc>
        <w:tc>
          <w:tcPr>
            <w:tcW w:w="2136" w:type="dxa"/>
            <w:tcBorders>
              <w:tl2br w:val="nil"/>
              <w:tr2bl w:val="nil"/>
            </w:tcBorders>
            <w:noWrap/>
            <w:vAlign w:val="center"/>
          </w:tcPr>
          <w:p w14:paraId="25E596E0">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彰武县行政区划内的粮食经营者市场主体</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彰武县城郊粮食储备有限公司等45家</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名录库中</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县发展和改革局按照不超过20</w:t>
            </w:r>
            <w:r>
              <w:rPr>
                <w:rFonts w:hint="eastAsia" w:ascii="仿宋" w:hAnsi="仿宋" w:eastAsia="仿宋" w:cs="仿宋"/>
                <w:color w:val="000000"/>
                <w:kern w:val="0"/>
                <w:sz w:val="24"/>
                <w:szCs w:val="24"/>
                <w:highlight w:val="none"/>
                <w:lang w:eastAsia="zh-CN"/>
              </w:rPr>
              <w:t>％的</w:t>
            </w:r>
            <w:r>
              <w:rPr>
                <w:rFonts w:hint="eastAsia" w:ascii="仿宋" w:hAnsi="仿宋" w:eastAsia="仿宋" w:cs="仿宋"/>
                <w:color w:val="000000"/>
                <w:kern w:val="0"/>
                <w:sz w:val="24"/>
                <w:szCs w:val="24"/>
                <w:highlight w:val="none"/>
              </w:rPr>
              <w:t>比例抽取6家。</w:t>
            </w:r>
          </w:p>
        </w:tc>
        <w:tc>
          <w:tcPr>
            <w:tcW w:w="2544" w:type="dxa"/>
            <w:tcBorders>
              <w:tl2br w:val="nil"/>
              <w:tr2bl w:val="nil"/>
            </w:tcBorders>
            <w:noWrap/>
            <w:vAlign w:val="center"/>
          </w:tcPr>
          <w:p w14:paraId="4238C43E">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市场主体是否违反《粮食流通管理条例》《粮油安全储存守则》《粮库安全生产守则》</w:t>
            </w:r>
            <w:r>
              <w:rPr>
                <w:rFonts w:hint="eastAsia" w:ascii="仿宋" w:hAnsi="仿宋" w:eastAsia="仿宋" w:cs="仿宋"/>
                <w:color w:val="000000"/>
                <w:kern w:val="0"/>
                <w:sz w:val="24"/>
                <w:szCs w:val="24"/>
                <w:highlight w:val="none"/>
                <w:lang w:eastAsia="zh-CN"/>
              </w:rPr>
              <w:t>。</w:t>
            </w:r>
          </w:p>
        </w:tc>
        <w:tc>
          <w:tcPr>
            <w:tcW w:w="3168" w:type="dxa"/>
            <w:tcBorders>
              <w:tl2br w:val="nil"/>
              <w:tr2bl w:val="nil"/>
            </w:tcBorders>
            <w:noWrap/>
            <w:vAlign w:val="center"/>
          </w:tcPr>
          <w:p w14:paraId="05119E93">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《粮食流通管理条例》第三十</w:t>
            </w:r>
            <w:r>
              <w:rPr>
                <w:rFonts w:hint="eastAsia" w:ascii="仿宋" w:hAnsi="仿宋" w:eastAsia="仿宋" w:cs="仿宋"/>
                <w:color w:val="000000"/>
                <w:kern w:val="0"/>
                <w:sz w:val="24"/>
                <w:szCs w:val="24"/>
                <w:highlight w:val="none"/>
                <w:lang w:eastAsia="zh-CN"/>
              </w:rPr>
              <w:t>八</w:t>
            </w:r>
            <w:r>
              <w:rPr>
                <w:rFonts w:hint="eastAsia" w:ascii="仿宋" w:hAnsi="仿宋" w:eastAsia="仿宋" w:cs="仿宋"/>
                <w:color w:val="000000"/>
                <w:kern w:val="0"/>
                <w:sz w:val="24"/>
                <w:szCs w:val="24"/>
                <w:highlight w:val="none"/>
              </w:rPr>
              <w:t>条</w:t>
            </w:r>
            <w:r>
              <w:rPr>
                <w:rFonts w:hint="eastAsia" w:ascii="仿宋" w:hAnsi="仿宋" w:eastAsia="仿宋" w:cs="仿宋"/>
                <w:color w:val="000000"/>
                <w:kern w:val="0"/>
                <w:sz w:val="24"/>
                <w:szCs w:val="24"/>
                <w:highlight w:val="none"/>
                <w:lang w:val="en-US" w:eastAsia="zh-CN"/>
              </w:rPr>
              <w:t>等相应的法律、法规、规章</w:t>
            </w:r>
            <w:r>
              <w:rPr>
                <w:rFonts w:hint="eastAsia" w:ascii="仿宋" w:hAnsi="仿宋" w:eastAsia="仿宋" w:cs="仿宋"/>
                <w:color w:val="000000"/>
                <w:kern w:val="0"/>
                <w:sz w:val="24"/>
                <w:szCs w:val="24"/>
                <w:highlight w:val="none"/>
                <w:lang w:eastAsia="zh-CN"/>
              </w:rPr>
              <w:t>。</w:t>
            </w:r>
          </w:p>
        </w:tc>
        <w:tc>
          <w:tcPr>
            <w:tcW w:w="1752" w:type="dxa"/>
            <w:tcBorders>
              <w:tl2br w:val="nil"/>
              <w:tr2bl w:val="nil"/>
            </w:tcBorders>
            <w:noWrap/>
            <w:vAlign w:val="center"/>
          </w:tcPr>
          <w:p w14:paraId="02DC54C1">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第一季度</w:t>
            </w:r>
            <w:r>
              <w:rPr>
                <w:rFonts w:hint="eastAsia" w:ascii="仿宋" w:hAnsi="仿宋" w:eastAsia="仿宋" w:cs="仿宋"/>
                <w:color w:val="000000"/>
                <w:kern w:val="0"/>
                <w:sz w:val="24"/>
                <w:szCs w:val="24"/>
                <w:highlight w:val="none"/>
                <w:lang w:val="en-US" w:eastAsia="zh-CN"/>
              </w:rPr>
              <w:t>2</w:t>
            </w:r>
            <w:r>
              <w:rPr>
                <w:rFonts w:hint="eastAsia" w:ascii="仿宋" w:hAnsi="仿宋" w:eastAsia="仿宋" w:cs="仿宋"/>
                <w:color w:val="000000"/>
                <w:kern w:val="0"/>
                <w:sz w:val="24"/>
                <w:szCs w:val="24"/>
                <w:highlight w:val="none"/>
              </w:rPr>
              <w:t>家</w:t>
            </w:r>
          </w:p>
          <w:p w14:paraId="1A1701CF">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第二季度</w:t>
            </w: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家</w:t>
            </w:r>
          </w:p>
          <w:p w14:paraId="56DE3EC4">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第三季度1家</w:t>
            </w:r>
          </w:p>
          <w:p w14:paraId="2A548878">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第四季度2家</w:t>
            </w:r>
          </w:p>
        </w:tc>
        <w:tc>
          <w:tcPr>
            <w:tcW w:w="1307" w:type="dxa"/>
            <w:tcBorders>
              <w:tl2br w:val="nil"/>
              <w:tr2bl w:val="nil"/>
            </w:tcBorders>
            <w:noWrap/>
            <w:vAlign w:val="center"/>
          </w:tcPr>
          <w:p w14:paraId="25C0B4C1">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eastAsia="zh-CN"/>
              </w:rPr>
              <w:t>现场调阅审查</w:t>
            </w:r>
          </w:p>
        </w:tc>
        <w:tc>
          <w:tcPr>
            <w:tcW w:w="1472" w:type="dxa"/>
            <w:tcBorders>
              <w:tl2br w:val="nil"/>
              <w:tr2bl w:val="nil"/>
            </w:tcBorders>
            <w:noWrap/>
            <w:vAlign w:val="center"/>
          </w:tcPr>
          <w:p w14:paraId="1CEE6A0C">
            <w:pPr>
              <w:keepNext w:val="0"/>
              <w:keepLines w:val="0"/>
              <w:pageBreakBefore w:val="0"/>
              <w:kinsoku/>
              <w:wordWrap/>
              <w:overflowPunct/>
              <w:topLinePunct w:val="0"/>
              <w:autoSpaceDE/>
              <w:autoSpaceDN/>
              <w:bidi w:val="0"/>
              <w:adjustRightInd/>
              <w:snapToGrid/>
              <w:spacing w:line="340" w:lineRule="exact"/>
              <w:jc w:val="both"/>
              <w:textAlignment w:val="auto"/>
              <w:rPr>
                <w:rFonts w:hint="default" w:ascii="仿宋" w:hAnsi="仿宋" w:eastAsia="仿宋" w:cs="仿宋"/>
                <w:kern w:val="2"/>
                <w:sz w:val="24"/>
                <w:szCs w:val="24"/>
                <w:highlight w:val="none"/>
                <w:vertAlign w:val="baseline"/>
                <w:lang w:val="en-US" w:eastAsia="zh-CN" w:bidi="ar-SA"/>
              </w:rPr>
            </w:pPr>
            <w:r>
              <w:rPr>
                <w:rFonts w:hint="eastAsia" w:ascii="仿宋" w:hAnsi="仿宋" w:eastAsia="仿宋" w:cs="仿宋"/>
                <w:kern w:val="2"/>
                <w:sz w:val="24"/>
                <w:szCs w:val="24"/>
                <w:highlight w:val="none"/>
                <w:vertAlign w:val="baseline"/>
                <w:lang w:val="en-US" w:eastAsia="zh-CN" w:bidi="ar-SA"/>
              </w:rPr>
              <w:t>彰武县市场监督管理局</w:t>
            </w:r>
          </w:p>
        </w:tc>
      </w:tr>
      <w:tr w14:paraId="23E2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07CA6E0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1356" w:type="dxa"/>
            <w:tcBorders>
              <w:tl2br w:val="nil"/>
              <w:tr2bl w:val="nil"/>
            </w:tcBorders>
            <w:noWrap/>
            <w:vAlign w:val="center"/>
          </w:tcPr>
          <w:p w14:paraId="3F45ACD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彰武县交通运输局</w:t>
            </w:r>
          </w:p>
        </w:tc>
        <w:tc>
          <w:tcPr>
            <w:tcW w:w="2136" w:type="dxa"/>
            <w:tcBorders>
              <w:tl2br w:val="nil"/>
              <w:tr2bl w:val="nil"/>
            </w:tcBorders>
            <w:noWrap/>
            <w:vAlign w:val="center"/>
          </w:tcPr>
          <w:p w14:paraId="0602A53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彰武县行政区划内道路运输经营主体（彰武县站前交通出租车有限公司等</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rPr>
              <w:t>家</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名录库中</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县交通运输局</w:t>
            </w:r>
            <w:r>
              <w:rPr>
                <w:rFonts w:hint="eastAsia" w:ascii="仿宋" w:hAnsi="仿宋" w:eastAsia="仿宋" w:cs="仿宋"/>
                <w:color w:val="auto"/>
                <w:kern w:val="0"/>
                <w:sz w:val="24"/>
                <w:szCs w:val="24"/>
                <w:highlight w:val="none"/>
                <w:lang w:val="en-US" w:eastAsia="zh-CN"/>
              </w:rPr>
              <w:t>按照</w:t>
            </w:r>
            <w:r>
              <w:rPr>
                <w:rFonts w:hint="eastAsia" w:ascii="仿宋" w:hAnsi="仿宋" w:eastAsia="仿宋" w:cs="仿宋"/>
                <w:color w:val="auto"/>
                <w:kern w:val="0"/>
                <w:sz w:val="24"/>
                <w:szCs w:val="24"/>
                <w:highlight w:val="none"/>
              </w:rPr>
              <w:t>不超过20%比例抽取</w:t>
            </w:r>
            <w:r>
              <w:rPr>
                <w:rFonts w:hint="eastAsia" w:ascii="仿宋" w:hAnsi="仿宋" w:eastAsia="仿宋" w:cs="仿宋"/>
                <w:color w:val="auto"/>
                <w:kern w:val="0"/>
                <w:sz w:val="24"/>
                <w:szCs w:val="24"/>
                <w:highlight w:val="none"/>
                <w:lang w:val="en-US" w:eastAsia="zh-CN"/>
              </w:rPr>
              <w:t>7家</w:t>
            </w:r>
            <w:r>
              <w:rPr>
                <w:rFonts w:hint="eastAsia" w:ascii="仿宋" w:hAnsi="仿宋" w:eastAsia="仿宋" w:cs="仿宋"/>
                <w:color w:val="auto"/>
                <w:kern w:val="0"/>
                <w:sz w:val="24"/>
                <w:szCs w:val="24"/>
                <w:highlight w:val="none"/>
                <w:lang w:eastAsia="zh-CN"/>
              </w:rPr>
              <w:t>。</w:t>
            </w:r>
          </w:p>
        </w:tc>
        <w:tc>
          <w:tcPr>
            <w:tcW w:w="2544" w:type="dxa"/>
            <w:tcBorders>
              <w:tl2br w:val="nil"/>
              <w:tr2bl w:val="nil"/>
            </w:tcBorders>
            <w:noWrap/>
            <w:vAlign w:val="center"/>
          </w:tcPr>
          <w:p w14:paraId="15C7E8B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各类市场主体是否违反道路运输、出租汽车经营服务法律、法规、规章等</w:t>
            </w:r>
            <w:r>
              <w:rPr>
                <w:rFonts w:hint="eastAsia" w:ascii="仿宋" w:hAnsi="仿宋" w:eastAsia="仿宋" w:cs="仿宋"/>
                <w:color w:val="auto"/>
                <w:kern w:val="0"/>
                <w:sz w:val="24"/>
                <w:szCs w:val="24"/>
                <w:highlight w:val="none"/>
                <w:lang w:eastAsia="zh-CN"/>
              </w:rPr>
              <w:t>。</w:t>
            </w:r>
          </w:p>
        </w:tc>
        <w:tc>
          <w:tcPr>
            <w:tcW w:w="3168" w:type="dxa"/>
            <w:tcBorders>
              <w:tl2br w:val="nil"/>
              <w:tr2bl w:val="nil"/>
            </w:tcBorders>
            <w:noWrap/>
            <w:vAlign w:val="center"/>
          </w:tcPr>
          <w:p w14:paraId="15C3FEC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《中华人民共和国道路运输条例》第五十三条</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《出租汽车经营服务管理规定》第四十二条</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《道路货物运输及站场管理规定》第四十九条等</w:t>
            </w:r>
            <w:r>
              <w:rPr>
                <w:rFonts w:hint="eastAsia" w:ascii="仿宋" w:hAnsi="仿宋" w:eastAsia="仿宋" w:cs="仿宋"/>
                <w:color w:val="auto"/>
                <w:kern w:val="0"/>
                <w:sz w:val="24"/>
                <w:szCs w:val="24"/>
                <w:highlight w:val="none"/>
                <w:lang w:val="en-US" w:eastAsia="zh-CN"/>
              </w:rPr>
              <w:t>相应的法律、法规、规章</w:t>
            </w:r>
            <w:r>
              <w:rPr>
                <w:rFonts w:hint="eastAsia" w:ascii="仿宋" w:hAnsi="仿宋" w:eastAsia="仿宋" w:cs="仿宋"/>
                <w:color w:val="auto"/>
                <w:kern w:val="0"/>
                <w:sz w:val="24"/>
                <w:szCs w:val="24"/>
                <w:highlight w:val="none"/>
                <w:lang w:eastAsia="zh-CN"/>
              </w:rPr>
              <w:t>。</w:t>
            </w:r>
          </w:p>
        </w:tc>
        <w:tc>
          <w:tcPr>
            <w:tcW w:w="1752" w:type="dxa"/>
            <w:tcBorders>
              <w:tl2br w:val="nil"/>
              <w:tr2bl w:val="nil"/>
            </w:tcBorders>
            <w:noWrap/>
            <w:vAlign w:val="center"/>
          </w:tcPr>
          <w:p w14:paraId="0FB6317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第一季度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0E25BA4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第二季度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1CB03EC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第三季度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50FE94B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第四季度</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家</w:t>
            </w:r>
          </w:p>
        </w:tc>
        <w:tc>
          <w:tcPr>
            <w:tcW w:w="1307" w:type="dxa"/>
            <w:tcBorders>
              <w:tl2br w:val="nil"/>
              <w:tr2bl w:val="nil"/>
            </w:tcBorders>
            <w:noWrap/>
            <w:vAlign w:val="center"/>
          </w:tcPr>
          <w:p w14:paraId="5EC2AE3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现场</w:t>
            </w:r>
            <w:r>
              <w:rPr>
                <w:rFonts w:hint="eastAsia" w:ascii="仿宋" w:hAnsi="仿宋" w:eastAsia="仿宋" w:cs="仿宋"/>
                <w:color w:val="auto"/>
                <w:kern w:val="0"/>
                <w:sz w:val="24"/>
                <w:szCs w:val="24"/>
                <w:highlight w:val="none"/>
                <w:lang w:val="en-US" w:eastAsia="zh-CN"/>
              </w:rPr>
              <w:t>检查</w:t>
            </w:r>
          </w:p>
        </w:tc>
        <w:tc>
          <w:tcPr>
            <w:tcW w:w="1472" w:type="dxa"/>
            <w:tcBorders>
              <w:tl2br w:val="nil"/>
              <w:tr2bl w:val="nil"/>
            </w:tcBorders>
            <w:noWrap/>
            <w:vAlign w:val="center"/>
          </w:tcPr>
          <w:p w14:paraId="75E2B73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p>
        </w:tc>
      </w:tr>
      <w:tr w14:paraId="2AC79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34915E7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1356" w:type="dxa"/>
            <w:tcBorders>
              <w:tl2br w:val="nil"/>
              <w:tr2bl w:val="nil"/>
            </w:tcBorders>
            <w:shd w:val="clear" w:color="auto" w:fill="auto"/>
            <w:noWrap/>
            <w:vAlign w:val="center"/>
          </w:tcPr>
          <w:p w14:paraId="525F6DF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彰武县交通运输局</w:t>
            </w:r>
          </w:p>
        </w:tc>
        <w:tc>
          <w:tcPr>
            <w:tcW w:w="2136" w:type="dxa"/>
            <w:tcBorders>
              <w:tl2br w:val="nil"/>
              <w:tr2bl w:val="nil"/>
            </w:tcBorders>
            <w:shd w:val="clear" w:color="auto" w:fill="auto"/>
            <w:noWrap/>
            <w:vAlign w:val="center"/>
          </w:tcPr>
          <w:p w14:paraId="2E525AB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彰武县行政区划内道路运输经营主体（彰武新兴危险品运输车队</w:t>
            </w:r>
            <w:r>
              <w:rPr>
                <w:rFonts w:hint="eastAsia" w:ascii="仿宋" w:hAnsi="仿宋" w:eastAsia="仿宋" w:cs="仿宋"/>
                <w:color w:val="auto"/>
                <w:kern w:val="0"/>
                <w:sz w:val="24"/>
                <w:szCs w:val="24"/>
                <w:highlight w:val="none"/>
                <w:lang w:eastAsia="zh-CN"/>
              </w:rPr>
              <w:t>等</w:t>
            </w:r>
            <w:r>
              <w:rPr>
                <w:rFonts w:hint="eastAsia" w:ascii="仿宋" w:hAnsi="仿宋" w:eastAsia="仿宋" w:cs="仿宋"/>
                <w:color w:val="auto"/>
                <w:kern w:val="0"/>
                <w:sz w:val="24"/>
                <w:szCs w:val="24"/>
                <w:highlight w:val="none"/>
              </w:rPr>
              <w:t>50家）名录库中，县交通运输局按照不超过20%比例抽取</w:t>
            </w:r>
            <w:r>
              <w:rPr>
                <w:rFonts w:hint="eastAsia" w:ascii="仿宋" w:hAnsi="仿宋" w:eastAsia="仿宋" w:cs="仿宋"/>
                <w:color w:val="auto"/>
                <w:kern w:val="0"/>
                <w:sz w:val="24"/>
                <w:szCs w:val="24"/>
                <w:highlight w:val="none"/>
                <w:lang w:val="en-US" w:eastAsia="zh-CN"/>
              </w:rPr>
              <w:t>3家</w:t>
            </w:r>
            <w:r>
              <w:rPr>
                <w:rFonts w:hint="eastAsia" w:ascii="仿宋" w:hAnsi="仿宋" w:eastAsia="仿宋" w:cs="仿宋"/>
                <w:color w:val="auto"/>
                <w:kern w:val="0"/>
                <w:sz w:val="24"/>
                <w:szCs w:val="24"/>
                <w:highlight w:val="none"/>
                <w:lang w:eastAsia="zh-CN"/>
              </w:rPr>
              <w:t>。</w:t>
            </w:r>
          </w:p>
        </w:tc>
        <w:tc>
          <w:tcPr>
            <w:tcW w:w="2544" w:type="dxa"/>
            <w:tcBorders>
              <w:tl2br w:val="nil"/>
              <w:tr2bl w:val="nil"/>
            </w:tcBorders>
            <w:shd w:val="clear" w:color="auto" w:fill="auto"/>
            <w:noWrap/>
            <w:vAlign w:val="center"/>
          </w:tcPr>
          <w:p w14:paraId="2CE9057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各类市场主体是否违反道路运输法律、法规、规章等</w:t>
            </w:r>
            <w:r>
              <w:rPr>
                <w:rFonts w:hint="eastAsia" w:ascii="仿宋" w:hAnsi="仿宋" w:eastAsia="仿宋" w:cs="仿宋"/>
                <w:color w:val="auto"/>
                <w:kern w:val="0"/>
                <w:sz w:val="24"/>
                <w:szCs w:val="24"/>
                <w:highlight w:val="none"/>
                <w:lang w:eastAsia="zh-CN"/>
              </w:rPr>
              <w:t>。</w:t>
            </w:r>
          </w:p>
        </w:tc>
        <w:tc>
          <w:tcPr>
            <w:tcW w:w="3168" w:type="dxa"/>
            <w:tcBorders>
              <w:tl2br w:val="nil"/>
              <w:tr2bl w:val="nil"/>
            </w:tcBorders>
            <w:shd w:val="clear" w:color="auto" w:fill="auto"/>
            <w:noWrap/>
            <w:vAlign w:val="center"/>
          </w:tcPr>
          <w:p w14:paraId="7D6D31D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《中华人民共和国道路运输条例》</w:t>
            </w:r>
            <w:r>
              <w:rPr>
                <w:rFonts w:hint="eastAsia" w:ascii="仿宋" w:hAnsi="仿宋" w:eastAsia="仿宋" w:cs="仿宋"/>
                <w:color w:val="auto"/>
                <w:kern w:val="0"/>
                <w:sz w:val="24"/>
                <w:szCs w:val="24"/>
                <w:highlight w:val="none"/>
                <w:lang w:eastAsia="zh-CN"/>
              </w:rPr>
              <w:t>第</w:t>
            </w:r>
            <w:r>
              <w:rPr>
                <w:rFonts w:hint="eastAsia" w:ascii="仿宋" w:hAnsi="仿宋" w:eastAsia="仿宋" w:cs="仿宋"/>
                <w:color w:val="auto"/>
                <w:kern w:val="0"/>
                <w:sz w:val="24"/>
                <w:szCs w:val="24"/>
                <w:highlight w:val="none"/>
                <w:lang w:val="en-US" w:eastAsia="zh-CN"/>
              </w:rPr>
              <w:t>五十三条、</w:t>
            </w:r>
            <w:r>
              <w:rPr>
                <w:rFonts w:hint="eastAsia" w:ascii="仿宋" w:hAnsi="仿宋" w:eastAsia="仿宋" w:cs="仿宋"/>
                <w:color w:val="auto"/>
                <w:kern w:val="0"/>
                <w:sz w:val="24"/>
                <w:szCs w:val="24"/>
                <w:highlight w:val="none"/>
              </w:rPr>
              <w:t>《道路危险货物运输管理规定》</w:t>
            </w:r>
            <w:r>
              <w:rPr>
                <w:rFonts w:hint="eastAsia" w:ascii="仿宋" w:hAnsi="仿宋" w:eastAsia="仿宋" w:cs="仿宋"/>
                <w:color w:val="auto"/>
                <w:kern w:val="0"/>
                <w:sz w:val="24"/>
                <w:szCs w:val="24"/>
                <w:highlight w:val="none"/>
                <w:lang w:eastAsia="zh-CN"/>
              </w:rPr>
              <w:t>第</w:t>
            </w:r>
            <w:r>
              <w:rPr>
                <w:rFonts w:hint="eastAsia" w:ascii="仿宋" w:hAnsi="仿宋" w:eastAsia="仿宋" w:cs="仿宋"/>
                <w:color w:val="auto"/>
                <w:kern w:val="0"/>
                <w:sz w:val="24"/>
                <w:szCs w:val="24"/>
                <w:highlight w:val="none"/>
                <w:lang w:val="en-US" w:eastAsia="zh-CN"/>
              </w:rPr>
              <w:t>五十一条等相应的法律、法规、规章</w:t>
            </w:r>
            <w:r>
              <w:rPr>
                <w:rFonts w:hint="eastAsia" w:ascii="仿宋" w:hAnsi="仿宋" w:eastAsia="仿宋" w:cs="仿宋"/>
                <w:color w:val="auto"/>
                <w:kern w:val="0"/>
                <w:sz w:val="24"/>
                <w:szCs w:val="24"/>
                <w:highlight w:val="none"/>
                <w:lang w:eastAsia="zh-CN"/>
              </w:rPr>
              <w:t>。</w:t>
            </w:r>
          </w:p>
        </w:tc>
        <w:tc>
          <w:tcPr>
            <w:tcW w:w="1752" w:type="dxa"/>
            <w:tcBorders>
              <w:tl2br w:val="nil"/>
              <w:tr2bl w:val="nil"/>
            </w:tcBorders>
            <w:shd w:val="clear" w:color="auto" w:fill="auto"/>
            <w:noWrap/>
            <w:vAlign w:val="center"/>
          </w:tcPr>
          <w:p w14:paraId="03D7CF0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第一季度</w:t>
            </w:r>
            <w:r>
              <w:rPr>
                <w:rFonts w:hint="eastAsia" w:ascii="仿宋" w:hAnsi="仿宋" w:eastAsia="仿宋" w:cs="仿宋"/>
                <w:color w:val="auto"/>
                <w:kern w:val="0"/>
                <w:sz w:val="24"/>
                <w:szCs w:val="24"/>
                <w:highlight w:val="none"/>
                <w:lang w:val="en-US" w:eastAsia="zh-CN"/>
              </w:rPr>
              <w:t>1家</w:t>
            </w:r>
          </w:p>
          <w:p w14:paraId="0C4C3FC2">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第二季度1家</w:t>
            </w:r>
          </w:p>
          <w:p w14:paraId="0BA12A5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第三季度1家</w:t>
            </w:r>
          </w:p>
        </w:tc>
        <w:tc>
          <w:tcPr>
            <w:tcW w:w="1307" w:type="dxa"/>
            <w:tcBorders>
              <w:tl2br w:val="nil"/>
              <w:tr2bl w:val="nil"/>
            </w:tcBorders>
            <w:shd w:val="clear" w:color="auto" w:fill="auto"/>
            <w:noWrap/>
            <w:vAlign w:val="center"/>
          </w:tcPr>
          <w:p w14:paraId="7DA3960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1A0EFE3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w:t>
            </w:r>
            <w:r>
              <w:rPr>
                <w:rFonts w:hint="eastAsia" w:ascii="仿宋" w:hAnsi="仿宋" w:eastAsia="仿宋" w:cs="仿宋"/>
                <w:color w:val="auto"/>
                <w:kern w:val="0"/>
                <w:sz w:val="24"/>
                <w:szCs w:val="24"/>
                <w:highlight w:val="none"/>
                <w:lang w:eastAsia="zh-CN"/>
              </w:rPr>
              <w:t>市场</w:t>
            </w:r>
            <w:r>
              <w:rPr>
                <w:rFonts w:hint="eastAsia" w:ascii="仿宋" w:hAnsi="仿宋" w:eastAsia="仿宋" w:cs="仿宋"/>
                <w:color w:val="auto"/>
                <w:kern w:val="0"/>
                <w:sz w:val="24"/>
                <w:szCs w:val="24"/>
                <w:highlight w:val="none"/>
                <w:lang w:val="en-US" w:eastAsia="zh-CN"/>
              </w:rPr>
              <w:t>监督管理局</w:t>
            </w:r>
          </w:p>
        </w:tc>
      </w:tr>
      <w:tr w14:paraId="7358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jc w:val="center"/>
        </w:trPr>
        <w:tc>
          <w:tcPr>
            <w:tcW w:w="718" w:type="dxa"/>
            <w:tcBorders>
              <w:tl2br w:val="nil"/>
              <w:tr2bl w:val="nil"/>
            </w:tcBorders>
            <w:shd w:val="clear" w:color="auto" w:fill="auto"/>
            <w:noWrap/>
            <w:vAlign w:val="center"/>
          </w:tcPr>
          <w:p w14:paraId="3FD5162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1356" w:type="dxa"/>
            <w:tcBorders>
              <w:tl2br w:val="nil"/>
              <w:tr2bl w:val="nil"/>
            </w:tcBorders>
            <w:shd w:val="clear" w:color="auto" w:fill="auto"/>
            <w:vAlign w:val="center"/>
          </w:tcPr>
          <w:p w14:paraId="3B5953A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182876E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彰武县行政区划内畜禽屠宰、运输市场主体彰武县双赢生猪定点屠宰有限公司等15家市场主体名录库中，按不超过20%比例随机抽取3家。</w:t>
            </w:r>
          </w:p>
        </w:tc>
        <w:tc>
          <w:tcPr>
            <w:tcW w:w="2544" w:type="dxa"/>
            <w:tcBorders>
              <w:tl2br w:val="nil"/>
              <w:tr2bl w:val="nil"/>
            </w:tcBorders>
            <w:shd w:val="clear" w:color="auto" w:fill="auto"/>
            <w:vAlign w:val="center"/>
          </w:tcPr>
          <w:p w14:paraId="6B58100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动物防疫条件、制度、检疫、无害化处理、安全生产等。</w:t>
            </w:r>
          </w:p>
        </w:tc>
        <w:tc>
          <w:tcPr>
            <w:tcW w:w="3168" w:type="dxa"/>
            <w:tcBorders>
              <w:tl2br w:val="nil"/>
              <w:tr2bl w:val="nil"/>
            </w:tcBorders>
            <w:shd w:val="clear" w:color="auto" w:fill="auto"/>
            <w:vAlign w:val="center"/>
          </w:tcPr>
          <w:p w14:paraId="2D28B2C2">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《中华人民共和国动物防疫法》第七十四条等相应的法律、法规、规章。　</w:t>
            </w:r>
          </w:p>
        </w:tc>
        <w:tc>
          <w:tcPr>
            <w:tcW w:w="1752" w:type="dxa"/>
            <w:tcBorders>
              <w:tl2br w:val="nil"/>
              <w:tr2bl w:val="nil"/>
            </w:tcBorders>
            <w:shd w:val="clear" w:color="auto" w:fill="auto"/>
            <w:vAlign w:val="center"/>
          </w:tcPr>
          <w:p w14:paraId="27B3A4C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第二季度1家第三季度1家第四季度1家</w:t>
            </w:r>
          </w:p>
        </w:tc>
        <w:tc>
          <w:tcPr>
            <w:tcW w:w="1307" w:type="dxa"/>
            <w:tcBorders>
              <w:tl2br w:val="nil"/>
              <w:tr2bl w:val="nil"/>
            </w:tcBorders>
            <w:shd w:val="clear" w:color="auto" w:fill="auto"/>
            <w:vAlign w:val="center"/>
          </w:tcPr>
          <w:p w14:paraId="675E882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364F252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p>
        </w:tc>
      </w:tr>
      <w:tr w14:paraId="2980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jc w:val="center"/>
        </w:trPr>
        <w:tc>
          <w:tcPr>
            <w:tcW w:w="718" w:type="dxa"/>
            <w:tcBorders>
              <w:tl2br w:val="nil"/>
              <w:tr2bl w:val="nil"/>
            </w:tcBorders>
            <w:shd w:val="clear" w:color="auto" w:fill="auto"/>
            <w:noWrap/>
            <w:vAlign w:val="center"/>
          </w:tcPr>
          <w:p w14:paraId="2EAAB57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1356" w:type="dxa"/>
            <w:tcBorders>
              <w:tl2br w:val="nil"/>
              <w:tr2bl w:val="nil"/>
            </w:tcBorders>
            <w:shd w:val="clear" w:color="auto" w:fill="auto"/>
            <w:vAlign w:val="center"/>
          </w:tcPr>
          <w:p w14:paraId="23E5FD2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3B257D5D">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彰武县行政区划内饲料生产、经营市场主体彰武优品农牧饲料有限公司等88家市场主体名录库中，按不超过20%随机抽取12家。</w:t>
            </w:r>
          </w:p>
        </w:tc>
        <w:tc>
          <w:tcPr>
            <w:tcW w:w="2544" w:type="dxa"/>
            <w:tcBorders>
              <w:tl2br w:val="nil"/>
              <w:tr2bl w:val="nil"/>
            </w:tcBorders>
            <w:shd w:val="clear" w:color="auto" w:fill="auto"/>
            <w:vAlign w:val="center"/>
          </w:tcPr>
          <w:p w14:paraId="61A67042">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饲料生产是否存在违反《饲料和饲料添加剂管理条例》情况、安全生产等。</w:t>
            </w:r>
          </w:p>
        </w:tc>
        <w:tc>
          <w:tcPr>
            <w:tcW w:w="3168" w:type="dxa"/>
            <w:tcBorders>
              <w:tl2br w:val="nil"/>
              <w:tr2bl w:val="nil"/>
            </w:tcBorders>
            <w:shd w:val="clear" w:color="auto" w:fill="auto"/>
            <w:vAlign w:val="center"/>
          </w:tcPr>
          <w:p w14:paraId="7DBDAB37">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《饲料和饲料添加剂管理条例》第三条等相应的法律、法规、规章。</w:t>
            </w:r>
          </w:p>
        </w:tc>
        <w:tc>
          <w:tcPr>
            <w:tcW w:w="1752" w:type="dxa"/>
            <w:tcBorders>
              <w:tl2br w:val="nil"/>
              <w:tr2bl w:val="nil"/>
            </w:tcBorders>
            <w:shd w:val="clear" w:color="auto" w:fill="auto"/>
            <w:vAlign w:val="center"/>
          </w:tcPr>
          <w:p w14:paraId="3DC5ACD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第一季度3家第二季度3家第三季度3家第四季度3家</w:t>
            </w:r>
          </w:p>
        </w:tc>
        <w:tc>
          <w:tcPr>
            <w:tcW w:w="1307" w:type="dxa"/>
            <w:tcBorders>
              <w:tl2br w:val="nil"/>
              <w:tr2bl w:val="nil"/>
            </w:tcBorders>
            <w:shd w:val="clear" w:color="auto" w:fill="auto"/>
            <w:vAlign w:val="center"/>
          </w:tcPr>
          <w:p w14:paraId="34220DF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4549B13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7BFA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2FB1BC3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1356" w:type="dxa"/>
            <w:tcBorders>
              <w:tl2br w:val="nil"/>
              <w:tr2bl w:val="nil"/>
            </w:tcBorders>
            <w:shd w:val="clear" w:color="auto" w:fill="auto"/>
            <w:vAlign w:val="center"/>
          </w:tcPr>
          <w:p w14:paraId="705E3BB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46A750D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彰武县行政区划内兽药经营市场主体彰武县二道河子乡立强兽药店等132家市场主体名录库中，按不超过20%随机抽取19家。</w:t>
            </w:r>
          </w:p>
        </w:tc>
        <w:tc>
          <w:tcPr>
            <w:tcW w:w="2544" w:type="dxa"/>
            <w:tcBorders>
              <w:tl2br w:val="nil"/>
              <w:tr2bl w:val="nil"/>
            </w:tcBorders>
            <w:shd w:val="clear" w:color="auto" w:fill="auto"/>
            <w:vAlign w:val="center"/>
          </w:tcPr>
          <w:p w14:paraId="3028367F">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兽药三证、二维码录入，台账，药品摆放，是否经营假劣兽药、安全生产等。</w:t>
            </w:r>
          </w:p>
        </w:tc>
        <w:tc>
          <w:tcPr>
            <w:tcW w:w="3168" w:type="dxa"/>
            <w:tcBorders>
              <w:tl2br w:val="nil"/>
              <w:tr2bl w:val="nil"/>
            </w:tcBorders>
            <w:shd w:val="clear" w:color="auto" w:fill="auto"/>
            <w:vAlign w:val="center"/>
          </w:tcPr>
          <w:p w14:paraId="1FCBBD94">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《兽药管理条例》第三条等相应的法律、法规、规章。</w:t>
            </w:r>
          </w:p>
        </w:tc>
        <w:tc>
          <w:tcPr>
            <w:tcW w:w="1752" w:type="dxa"/>
            <w:tcBorders>
              <w:tl2br w:val="nil"/>
              <w:tr2bl w:val="nil"/>
            </w:tcBorders>
            <w:shd w:val="clear" w:color="auto" w:fill="auto"/>
            <w:vAlign w:val="center"/>
          </w:tcPr>
          <w:p w14:paraId="7C8B57D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第一季度4家第二季度5家第三季度5家第四季度5家</w:t>
            </w:r>
          </w:p>
        </w:tc>
        <w:tc>
          <w:tcPr>
            <w:tcW w:w="1307" w:type="dxa"/>
            <w:tcBorders>
              <w:tl2br w:val="nil"/>
              <w:tr2bl w:val="nil"/>
            </w:tcBorders>
            <w:shd w:val="clear" w:color="auto" w:fill="auto"/>
            <w:vAlign w:val="center"/>
          </w:tcPr>
          <w:p w14:paraId="480659C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1F86E2C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3149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6DEDFB6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1356" w:type="dxa"/>
            <w:tcBorders>
              <w:tl2br w:val="nil"/>
              <w:tr2bl w:val="nil"/>
            </w:tcBorders>
            <w:shd w:val="clear" w:color="auto" w:fill="auto"/>
            <w:vAlign w:val="center"/>
          </w:tcPr>
          <w:p w14:paraId="37A5999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4BB68FD8">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彰武县行政区划内农产品生产市场主体彰武县甜蜜蜜果蔬种植专业合作社等79家市场主体名录库中，按不超过20%随机抽取12家。</w:t>
            </w:r>
          </w:p>
        </w:tc>
        <w:tc>
          <w:tcPr>
            <w:tcW w:w="2544" w:type="dxa"/>
            <w:tcBorders>
              <w:tl2br w:val="nil"/>
              <w:tr2bl w:val="nil"/>
            </w:tcBorders>
            <w:shd w:val="clear" w:color="auto" w:fill="auto"/>
            <w:vAlign w:val="center"/>
          </w:tcPr>
          <w:p w14:paraId="31CCEE2E">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产品质量、生产记录、用药记录、销售台账、安全生产等。</w:t>
            </w:r>
          </w:p>
        </w:tc>
        <w:tc>
          <w:tcPr>
            <w:tcW w:w="3168" w:type="dxa"/>
            <w:tcBorders>
              <w:tl2br w:val="nil"/>
              <w:tr2bl w:val="nil"/>
            </w:tcBorders>
            <w:shd w:val="clear" w:color="auto" w:fill="auto"/>
            <w:vAlign w:val="center"/>
          </w:tcPr>
          <w:p w14:paraId="480A31DF">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《中华人民共和国农产品质量安全法》第五十二条等相应的法律、法规、规章。 </w:t>
            </w:r>
          </w:p>
        </w:tc>
        <w:tc>
          <w:tcPr>
            <w:tcW w:w="1752" w:type="dxa"/>
            <w:tcBorders>
              <w:tl2br w:val="nil"/>
              <w:tr2bl w:val="nil"/>
            </w:tcBorders>
            <w:shd w:val="clear" w:color="auto" w:fill="auto"/>
            <w:vAlign w:val="center"/>
          </w:tcPr>
          <w:p w14:paraId="53813C3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第一季度3家第二季度3家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第三季度3家第四季度3家</w:t>
            </w:r>
          </w:p>
        </w:tc>
        <w:tc>
          <w:tcPr>
            <w:tcW w:w="1307" w:type="dxa"/>
            <w:tcBorders>
              <w:tl2br w:val="nil"/>
              <w:tr2bl w:val="nil"/>
            </w:tcBorders>
            <w:shd w:val="clear" w:color="auto" w:fill="auto"/>
            <w:vAlign w:val="center"/>
          </w:tcPr>
          <w:p w14:paraId="327A36A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现场检查、抽样检测</w:t>
            </w:r>
          </w:p>
        </w:tc>
        <w:tc>
          <w:tcPr>
            <w:tcW w:w="1472" w:type="dxa"/>
            <w:tcBorders>
              <w:tl2br w:val="nil"/>
              <w:tr2bl w:val="nil"/>
            </w:tcBorders>
            <w:shd w:val="clear" w:color="auto" w:fill="auto"/>
            <w:vAlign w:val="center"/>
          </w:tcPr>
          <w:p w14:paraId="44EC9A9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p>
        </w:tc>
      </w:tr>
      <w:tr w14:paraId="5A75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24CA0AF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1356" w:type="dxa"/>
            <w:tcBorders>
              <w:tl2br w:val="nil"/>
              <w:tr2bl w:val="nil"/>
            </w:tcBorders>
            <w:shd w:val="clear" w:color="auto" w:fill="auto"/>
            <w:vAlign w:val="center"/>
          </w:tcPr>
          <w:p w14:paraId="0AFA0A8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5CEB15E9">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彰武县行政区划内种子生产经营市场主体彰武县丰瑞农业发展有限公司等120家市场主体名录库中，按不超过20%随机抽取24家。</w:t>
            </w:r>
          </w:p>
        </w:tc>
        <w:tc>
          <w:tcPr>
            <w:tcW w:w="2544" w:type="dxa"/>
            <w:tcBorders>
              <w:tl2br w:val="nil"/>
              <w:tr2bl w:val="nil"/>
            </w:tcBorders>
            <w:shd w:val="clear" w:color="auto" w:fill="auto"/>
            <w:vAlign w:val="center"/>
          </w:tcPr>
          <w:p w14:paraId="12B14136">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产品经营档案、备案、产品包装、标签、质量、审定、登记、安全生产等。</w:t>
            </w:r>
          </w:p>
        </w:tc>
        <w:tc>
          <w:tcPr>
            <w:tcW w:w="3168" w:type="dxa"/>
            <w:tcBorders>
              <w:tl2br w:val="nil"/>
              <w:tr2bl w:val="nil"/>
            </w:tcBorders>
            <w:shd w:val="clear" w:color="auto" w:fill="auto"/>
            <w:vAlign w:val="center"/>
          </w:tcPr>
          <w:p w14:paraId="799983A8">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《中华人民共和国种子法》第四十六条等相应的法律、法规、规章。</w:t>
            </w:r>
          </w:p>
        </w:tc>
        <w:tc>
          <w:tcPr>
            <w:tcW w:w="1752" w:type="dxa"/>
            <w:tcBorders>
              <w:tl2br w:val="nil"/>
              <w:tr2bl w:val="nil"/>
            </w:tcBorders>
            <w:shd w:val="clear" w:color="auto" w:fill="auto"/>
            <w:vAlign w:val="center"/>
          </w:tcPr>
          <w:p w14:paraId="2408DE1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第一季度6家第二季度6家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第三季度6家第四季度6家</w:t>
            </w:r>
          </w:p>
        </w:tc>
        <w:tc>
          <w:tcPr>
            <w:tcW w:w="1307" w:type="dxa"/>
            <w:tcBorders>
              <w:tl2br w:val="nil"/>
              <w:tr2bl w:val="nil"/>
            </w:tcBorders>
            <w:shd w:val="clear" w:color="auto" w:fill="auto"/>
            <w:vAlign w:val="center"/>
          </w:tcPr>
          <w:p w14:paraId="1165786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7E21FAC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4735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3E80B46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w:t>
            </w:r>
          </w:p>
        </w:tc>
        <w:tc>
          <w:tcPr>
            <w:tcW w:w="1356" w:type="dxa"/>
            <w:tcBorders>
              <w:tl2br w:val="nil"/>
              <w:tr2bl w:val="nil"/>
            </w:tcBorders>
            <w:shd w:val="clear" w:color="auto" w:fill="auto"/>
            <w:vAlign w:val="center"/>
          </w:tcPr>
          <w:p w14:paraId="711AF7F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3F542ACA">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彰武县行政区划内农药经营市场主体彰武东亚种子公司等120家市场主体名录库中，按不超过20%随机抽取24家。</w:t>
            </w:r>
          </w:p>
        </w:tc>
        <w:tc>
          <w:tcPr>
            <w:tcW w:w="2544" w:type="dxa"/>
            <w:tcBorders>
              <w:tl2br w:val="nil"/>
              <w:tr2bl w:val="nil"/>
            </w:tcBorders>
            <w:shd w:val="clear" w:color="auto" w:fill="auto"/>
            <w:vAlign w:val="center"/>
          </w:tcPr>
          <w:p w14:paraId="1359C21A">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产品经营档案、备案、产品包装、标签、质量、审定、登记、安全生产等。</w:t>
            </w:r>
          </w:p>
        </w:tc>
        <w:tc>
          <w:tcPr>
            <w:tcW w:w="3168" w:type="dxa"/>
            <w:tcBorders>
              <w:tl2br w:val="nil"/>
              <w:tr2bl w:val="nil"/>
            </w:tcBorders>
            <w:shd w:val="clear" w:color="auto" w:fill="auto"/>
            <w:vAlign w:val="center"/>
          </w:tcPr>
          <w:p w14:paraId="41BED453">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《农药管理条例》第三条等相应的法律、法规、规章。　</w:t>
            </w:r>
          </w:p>
        </w:tc>
        <w:tc>
          <w:tcPr>
            <w:tcW w:w="1752" w:type="dxa"/>
            <w:tcBorders>
              <w:tl2br w:val="nil"/>
              <w:tr2bl w:val="nil"/>
            </w:tcBorders>
            <w:shd w:val="clear" w:color="auto" w:fill="auto"/>
            <w:vAlign w:val="center"/>
          </w:tcPr>
          <w:p w14:paraId="78C97D9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第一季度6家第二季度6家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第三季度6家第四季度6家</w:t>
            </w:r>
          </w:p>
        </w:tc>
        <w:tc>
          <w:tcPr>
            <w:tcW w:w="1307" w:type="dxa"/>
            <w:tcBorders>
              <w:tl2br w:val="nil"/>
              <w:tr2bl w:val="nil"/>
            </w:tcBorders>
            <w:shd w:val="clear" w:color="auto" w:fill="auto"/>
            <w:vAlign w:val="center"/>
          </w:tcPr>
          <w:p w14:paraId="75F5ECC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78FC844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3163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481FE8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1356" w:type="dxa"/>
            <w:tcBorders>
              <w:tl2br w:val="nil"/>
              <w:tr2bl w:val="nil"/>
            </w:tcBorders>
            <w:noWrap/>
            <w:vAlign w:val="center"/>
          </w:tcPr>
          <w:p w14:paraId="5E9CEBA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彰武县气象局</w:t>
            </w:r>
          </w:p>
        </w:tc>
        <w:tc>
          <w:tcPr>
            <w:tcW w:w="2136" w:type="dxa"/>
            <w:tcBorders>
              <w:tl2br w:val="nil"/>
              <w:tr2bl w:val="nil"/>
            </w:tcBorders>
            <w:noWrap/>
            <w:vAlign w:val="center"/>
          </w:tcPr>
          <w:p w14:paraId="0E4A3B6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全县油库、气库、弹药库、化学品仓库、烟花爆竹、石化等易燃易爆场所主体名录库共</w:t>
            </w:r>
            <w:r>
              <w:rPr>
                <w:rFonts w:hint="eastAsia" w:ascii="仿宋" w:hAnsi="仿宋" w:eastAsia="仿宋" w:cs="仿宋"/>
                <w:color w:val="auto"/>
                <w:sz w:val="24"/>
                <w:szCs w:val="24"/>
                <w:highlight w:val="none"/>
                <w:lang w:val="en-US" w:eastAsia="zh-CN"/>
              </w:rPr>
              <w:t>96</w:t>
            </w:r>
            <w:r>
              <w:rPr>
                <w:rFonts w:hint="eastAsia" w:ascii="仿宋" w:hAnsi="仿宋" w:eastAsia="仿宋" w:cs="仿宋"/>
                <w:color w:val="auto"/>
                <w:sz w:val="24"/>
                <w:szCs w:val="24"/>
                <w:highlight w:val="none"/>
              </w:rPr>
              <w:t>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按照不超过20%的</w:t>
            </w:r>
            <w:r>
              <w:rPr>
                <w:rFonts w:hint="eastAsia" w:ascii="仿宋" w:hAnsi="仿宋" w:eastAsia="仿宋" w:cs="仿宋"/>
                <w:color w:val="000000"/>
                <w:kern w:val="0"/>
                <w:sz w:val="24"/>
                <w:szCs w:val="24"/>
                <w:highlight w:val="none"/>
                <w:lang w:eastAsia="zh-CN"/>
              </w:rPr>
              <w:t>比例随机抽取</w:t>
            </w:r>
            <w:r>
              <w:rPr>
                <w:rFonts w:hint="eastAsia" w:ascii="仿宋" w:hAnsi="仿宋" w:eastAsia="仿宋" w:cs="仿宋"/>
                <w:color w:val="000000"/>
                <w:kern w:val="0"/>
                <w:sz w:val="24"/>
                <w:szCs w:val="24"/>
                <w:highlight w:val="none"/>
                <w:lang w:val="en-US" w:eastAsia="zh-CN"/>
              </w:rPr>
              <w:t>19</w:t>
            </w:r>
            <w:r>
              <w:rPr>
                <w:rFonts w:hint="eastAsia" w:ascii="仿宋" w:hAnsi="仿宋" w:eastAsia="仿宋" w:cs="仿宋"/>
                <w:color w:val="000000"/>
                <w:kern w:val="0"/>
                <w:sz w:val="24"/>
                <w:szCs w:val="24"/>
                <w:highlight w:val="none"/>
                <w:lang w:eastAsia="zh-CN"/>
              </w:rPr>
              <w:t>家</w:t>
            </w:r>
            <w:r>
              <w:rPr>
                <w:rFonts w:hint="eastAsia" w:ascii="仿宋" w:hAnsi="仿宋" w:eastAsia="仿宋" w:cs="仿宋"/>
                <w:color w:val="auto"/>
                <w:sz w:val="24"/>
                <w:szCs w:val="24"/>
                <w:highlight w:val="none"/>
              </w:rPr>
              <w:t>。</w:t>
            </w:r>
          </w:p>
        </w:tc>
        <w:tc>
          <w:tcPr>
            <w:tcW w:w="2544" w:type="dxa"/>
            <w:tcBorders>
              <w:tl2br w:val="nil"/>
              <w:tr2bl w:val="nil"/>
            </w:tcBorders>
            <w:noWrap/>
            <w:vAlign w:val="center"/>
          </w:tcPr>
          <w:p w14:paraId="5EA631AE">
            <w:pPr>
              <w:keepNext w:val="0"/>
              <w:keepLines w:val="0"/>
              <w:pageBreakBefore w:val="0"/>
              <w:tabs>
                <w:tab w:val="left" w:pos="735"/>
              </w:tabs>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是否定期开展防雷装置检测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新、改、扩建易燃易爆场所是否进行防雷装置设计审核和竣工验收</w:t>
            </w:r>
            <w:r>
              <w:rPr>
                <w:rFonts w:hint="eastAsia" w:ascii="仿宋" w:hAnsi="仿宋" w:eastAsia="仿宋" w:cs="仿宋"/>
                <w:color w:val="auto"/>
                <w:sz w:val="24"/>
                <w:szCs w:val="24"/>
                <w:highlight w:val="none"/>
                <w:lang w:eastAsia="zh-CN"/>
              </w:rPr>
              <w:t>。</w:t>
            </w:r>
          </w:p>
        </w:tc>
        <w:tc>
          <w:tcPr>
            <w:tcW w:w="3168" w:type="dxa"/>
            <w:tcBorders>
              <w:tl2br w:val="nil"/>
              <w:tr2bl w:val="nil"/>
            </w:tcBorders>
            <w:noWrap/>
            <w:vAlign w:val="center"/>
          </w:tcPr>
          <w:p w14:paraId="6563311A">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《中华人民共和国气象法》第三十一条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《气象灾害防御条例》第二十三条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《国务院对确需保留的行政审批项目设定行政许可的决定》附件第378项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《防雷减灾管理办法》第</w:t>
            </w:r>
            <w:r>
              <w:rPr>
                <w:rStyle w:val="11"/>
                <w:rFonts w:hint="eastAsia" w:ascii="仿宋" w:hAnsi="仿宋" w:eastAsia="仿宋" w:cs="仿宋"/>
                <w:b w:val="0"/>
                <w:bCs w:val="0"/>
                <w:color w:val="auto"/>
                <w:sz w:val="24"/>
                <w:szCs w:val="24"/>
                <w:highlight w:val="none"/>
              </w:rPr>
              <w:t>十五条</w:t>
            </w:r>
            <w:r>
              <w:rPr>
                <w:rStyle w:val="11"/>
                <w:rFonts w:hint="eastAsia" w:ascii="仿宋" w:hAnsi="仿宋" w:eastAsia="仿宋" w:cs="仿宋"/>
                <w:b w:val="0"/>
                <w:bCs w:val="0"/>
                <w:color w:val="auto"/>
                <w:sz w:val="24"/>
                <w:szCs w:val="24"/>
                <w:highlight w:val="none"/>
                <w:lang w:eastAsia="zh-CN"/>
              </w:rPr>
              <w:t>、</w:t>
            </w:r>
            <w:r>
              <w:rPr>
                <w:rStyle w:val="11"/>
                <w:rFonts w:hint="eastAsia" w:ascii="仿宋" w:hAnsi="仿宋" w:eastAsia="仿宋" w:cs="仿宋"/>
                <w:b w:val="0"/>
                <w:bCs w:val="0"/>
                <w:color w:val="auto"/>
                <w:sz w:val="24"/>
                <w:szCs w:val="24"/>
                <w:highlight w:val="none"/>
              </w:rPr>
              <w:t>第十七条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第十九条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第二十三条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《防雷装置设计审核和竣工验收规定》第二条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《辽宁省雷电灾害防御管理规定》第三条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第九条</w:t>
            </w:r>
            <w:r>
              <w:rPr>
                <w:rFonts w:hint="eastAsia" w:ascii="仿宋" w:hAnsi="仿宋" w:eastAsia="仿宋" w:cs="仿宋"/>
                <w:color w:val="auto"/>
                <w:kern w:val="0"/>
                <w:sz w:val="24"/>
                <w:szCs w:val="24"/>
                <w:highlight w:val="none"/>
                <w:lang w:val="en-US" w:eastAsia="zh-CN"/>
              </w:rPr>
              <w:t>等相应的法律、法规、规章</w:t>
            </w:r>
            <w:r>
              <w:rPr>
                <w:rFonts w:hint="eastAsia" w:ascii="仿宋" w:hAnsi="仿宋" w:eastAsia="仿宋" w:cs="仿宋"/>
                <w:color w:val="auto"/>
                <w:sz w:val="24"/>
                <w:szCs w:val="24"/>
                <w:highlight w:val="none"/>
                <w:lang w:eastAsia="zh-CN"/>
              </w:rPr>
              <w:t>。</w:t>
            </w:r>
          </w:p>
        </w:tc>
        <w:tc>
          <w:tcPr>
            <w:tcW w:w="1752" w:type="dxa"/>
            <w:tcBorders>
              <w:tl2br w:val="nil"/>
              <w:tr2bl w:val="nil"/>
            </w:tcBorders>
            <w:noWrap/>
            <w:vAlign w:val="center"/>
          </w:tcPr>
          <w:p w14:paraId="57755F5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季度</w:t>
            </w:r>
            <w:r>
              <w:rPr>
                <w:rFonts w:hint="eastAsia" w:ascii="仿宋" w:hAnsi="仿宋" w:eastAsia="仿宋" w:cs="仿宋"/>
                <w:color w:val="auto"/>
                <w:sz w:val="24"/>
                <w:szCs w:val="24"/>
                <w:highlight w:val="none"/>
                <w:lang w:val="en-US" w:eastAsia="zh-CN"/>
              </w:rPr>
              <w:t>10家</w:t>
            </w:r>
          </w:p>
          <w:p w14:paraId="71AE60E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季度</w:t>
            </w:r>
            <w:r>
              <w:rPr>
                <w:rFonts w:hint="eastAsia" w:ascii="仿宋" w:hAnsi="仿宋" w:eastAsia="仿宋" w:cs="仿宋"/>
                <w:color w:val="auto"/>
                <w:sz w:val="24"/>
                <w:szCs w:val="24"/>
                <w:highlight w:val="none"/>
                <w:lang w:val="en-US" w:eastAsia="zh-CN"/>
              </w:rPr>
              <w:t>9家</w:t>
            </w:r>
          </w:p>
        </w:tc>
        <w:tc>
          <w:tcPr>
            <w:tcW w:w="1307" w:type="dxa"/>
            <w:tcBorders>
              <w:tl2br w:val="nil"/>
              <w:tr2bl w:val="nil"/>
            </w:tcBorders>
            <w:noWrap/>
            <w:vAlign w:val="center"/>
          </w:tcPr>
          <w:p w14:paraId="70282F9F">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现场</w:t>
            </w:r>
            <w:r>
              <w:rPr>
                <w:rFonts w:hint="eastAsia" w:ascii="仿宋" w:hAnsi="仿宋" w:eastAsia="仿宋" w:cs="仿宋"/>
                <w:color w:val="auto"/>
                <w:sz w:val="24"/>
                <w:szCs w:val="24"/>
                <w:highlight w:val="none"/>
              </w:rPr>
              <w:t>检查</w:t>
            </w:r>
          </w:p>
          <w:p w14:paraId="7389B00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p>
        </w:tc>
        <w:tc>
          <w:tcPr>
            <w:tcW w:w="1472" w:type="dxa"/>
            <w:tcBorders>
              <w:tl2br w:val="nil"/>
              <w:tr2bl w:val="nil"/>
            </w:tcBorders>
            <w:noWrap/>
            <w:vAlign w:val="center"/>
          </w:tcPr>
          <w:p w14:paraId="0EB0A5A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p>
        </w:tc>
      </w:tr>
      <w:tr w14:paraId="1454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21B641F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11</w:t>
            </w:r>
          </w:p>
        </w:tc>
        <w:tc>
          <w:tcPr>
            <w:tcW w:w="1356" w:type="dxa"/>
            <w:tcBorders>
              <w:tl2br w:val="nil"/>
              <w:tr2bl w:val="nil"/>
            </w:tcBorders>
            <w:noWrap/>
            <w:vAlign w:val="center"/>
          </w:tcPr>
          <w:p w14:paraId="4F0A496E">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彰武县人力资源和社会保障局</w:t>
            </w:r>
          </w:p>
        </w:tc>
        <w:tc>
          <w:tcPr>
            <w:tcW w:w="2136" w:type="dxa"/>
            <w:tcBorders>
              <w:tl2br w:val="nil"/>
              <w:tr2bl w:val="nil"/>
            </w:tcBorders>
            <w:noWrap/>
            <w:vAlign w:val="center"/>
          </w:tcPr>
          <w:p w14:paraId="497AC70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彰武县行政区内彰武县建兴建筑工程公司、辽宁水资源生态开发（彰武）有限责任公司等市场主体名录库35000家</w:t>
            </w:r>
            <w:r>
              <w:rPr>
                <w:rFonts w:hint="eastAsia" w:ascii="仿宋" w:hAnsi="仿宋" w:eastAsia="仿宋" w:cs="仿宋"/>
                <w:color w:val="000000"/>
                <w:kern w:val="0"/>
                <w:sz w:val="24"/>
                <w:szCs w:val="24"/>
                <w:highlight w:val="none"/>
                <w:lang w:val="en-US" w:eastAsia="zh-CN"/>
              </w:rPr>
              <w:t>中</w:t>
            </w:r>
            <w:r>
              <w:rPr>
                <w:rFonts w:hint="eastAsia" w:ascii="仿宋" w:hAnsi="仿宋" w:eastAsia="仿宋" w:cs="仿宋"/>
                <w:color w:val="000000"/>
                <w:kern w:val="0"/>
                <w:sz w:val="24"/>
                <w:szCs w:val="24"/>
                <w:highlight w:val="none"/>
                <w:lang w:eastAsia="zh-CN"/>
              </w:rPr>
              <w:t>，不超过20%</w:t>
            </w:r>
            <w:r>
              <w:rPr>
                <w:rFonts w:hint="eastAsia" w:ascii="仿宋" w:hAnsi="仿宋" w:eastAsia="仿宋" w:cs="仿宋"/>
                <w:color w:val="000000"/>
                <w:kern w:val="0"/>
                <w:sz w:val="24"/>
                <w:szCs w:val="24"/>
                <w:highlight w:val="none"/>
                <w:lang w:val="en-US" w:eastAsia="zh-CN"/>
              </w:rPr>
              <w:t>的</w:t>
            </w:r>
            <w:r>
              <w:rPr>
                <w:rFonts w:hint="eastAsia" w:ascii="仿宋" w:hAnsi="仿宋" w:eastAsia="仿宋" w:cs="仿宋"/>
                <w:color w:val="000000"/>
                <w:kern w:val="0"/>
                <w:sz w:val="24"/>
                <w:szCs w:val="24"/>
                <w:highlight w:val="none"/>
                <w:lang w:eastAsia="zh-CN"/>
              </w:rPr>
              <w:t>比例抽取</w:t>
            </w:r>
            <w:r>
              <w:rPr>
                <w:rFonts w:hint="eastAsia" w:ascii="仿宋" w:hAnsi="仿宋" w:eastAsia="仿宋" w:cs="仿宋"/>
                <w:color w:val="000000"/>
                <w:kern w:val="0"/>
                <w:sz w:val="24"/>
                <w:szCs w:val="24"/>
                <w:highlight w:val="none"/>
                <w:lang w:val="en-US" w:eastAsia="zh-CN"/>
              </w:rPr>
              <w:t>14</w:t>
            </w:r>
            <w:r>
              <w:rPr>
                <w:rFonts w:hint="eastAsia" w:ascii="仿宋" w:hAnsi="仿宋" w:eastAsia="仿宋" w:cs="仿宋"/>
                <w:color w:val="000000"/>
                <w:kern w:val="0"/>
                <w:sz w:val="24"/>
                <w:szCs w:val="24"/>
                <w:highlight w:val="none"/>
                <w:lang w:eastAsia="zh-CN"/>
              </w:rPr>
              <w:t>家。</w:t>
            </w:r>
          </w:p>
        </w:tc>
        <w:tc>
          <w:tcPr>
            <w:tcW w:w="2544" w:type="dxa"/>
            <w:tcBorders>
              <w:tl2br w:val="nil"/>
              <w:tr2bl w:val="nil"/>
            </w:tcBorders>
            <w:noWrap/>
            <w:vAlign w:val="center"/>
          </w:tcPr>
          <w:p w14:paraId="5B6E11B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用人单位遵守劳动保障法律、法规和规章的情况。</w:t>
            </w:r>
          </w:p>
        </w:tc>
        <w:tc>
          <w:tcPr>
            <w:tcW w:w="3168" w:type="dxa"/>
            <w:tcBorders>
              <w:tl2br w:val="nil"/>
              <w:tr2bl w:val="nil"/>
            </w:tcBorders>
            <w:noWrap/>
            <w:vAlign w:val="center"/>
          </w:tcPr>
          <w:p w14:paraId="23A6A7C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中华人民共和国劳动法》第八十五条；《中华人民共和国劳动合同法》第七十四条；《中华人民共和国就业促进法》第六十条；《中华人民共和国社会保险法》第七十七条；《劳动保障监察条例》第十一条；《辽宁省劳动监察条例》第十二条等相应的法律、法规、规章。</w:t>
            </w:r>
          </w:p>
        </w:tc>
        <w:tc>
          <w:tcPr>
            <w:tcW w:w="1752" w:type="dxa"/>
            <w:tcBorders>
              <w:tl2br w:val="nil"/>
              <w:tr2bl w:val="nil"/>
            </w:tcBorders>
            <w:noWrap/>
            <w:vAlign w:val="center"/>
          </w:tcPr>
          <w:p w14:paraId="5666BFE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第二季度7家</w:t>
            </w:r>
          </w:p>
          <w:p w14:paraId="6097D944">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第四季度7家</w:t>
            </w:r>
          </w:p>
        </w:tc>
        <w:tc>
          <w:tcPr>
            <w:tcW w:w="1307" w:type="dxa"/>
            <w:tcBorders>
              <w:tl2br w:val="nil"/>
              <w:tr2bl w:val="nil"/>
            </w:tcBorders>
            <w:noWrap/>
            <w:vAlign w:val="center"/>
          </w:tcPr>
          <w:p w14:paraId="1F0FF4EE">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实地检查</w:t>
            </w:r>
          </w:p>
        </w:tc>
        <w:tc>
          <w:tcPr>
            <w:tcW w:w="1472" w:type="dxa"/>
            <w:tcBorders>
              <w:tl2br w:val="nil"/>
              <w:tr2bl w:val="nil"/>
            </w:tcBorders>
            <w:noWrap/>
            <w:vAlign w:val="center"/>
          </w:tcPr>
          <w:p w14:paraId="11676F0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auto"/>
                <w:kern w:val="0"/>
                <w:sz w:val="24"/>
                <w:szCs w:val="24"/>
                <w:highlight w:val="none"/>
                <w:lang w:val="en-US" w:eastAsia="zh-CN"/>
              </w:rPr>
              <w:t>彰武县市场监督管理局</w:t>
            </w:r>
          </w:p>
        </w:tc>
      </w:tr>
      <w:tr w14:paraId="1304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0" w:hRule="atLeast"/>
          <w:jc w:val="center"/>
        </w:trPr>
        <w:tc>
          <w:tcPr>
            <w:tcW w:w="718" w:type="dxa"/>
            <w:tcBorders>
              <w:tl2br w:val="nil"/>
              <w:tr2bl w:val="nil"/>
            </w:tcBorders>
            <w:noWrap/>
            <w:vAlign w:val="center"/>
          </w:tcPr>
          <w:p w14:paraId="110F27F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12</w:t>
            </w:r>
          </w:p>
        </w:tc>
        <w:tc>
          <w:tcPr>
            <w:tcW w:w="1356" w:type="dxa"/>
            <w:tcBorders>
              <w:tl2br w:val="nil"/>
              <w:tr2bl w:val="nil"/>
            </w:tcBorders>
            <w:noWrap/>
            <w:vAlign w:val="center"/>
          </w:tcPr>
          <w:p w14:paraId="0D3F3E6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彰武县水利局</w:t>
            </w:r>
          </w:p>
        </w:tc>
        <w:tc>
          <w:tcPr>
            <w:tcW w:w="2136" w:type="dxa"/>
            <w:tcBorders>
              <w:tl2br w:val="nil"/>
              <w:tr2bl w:val="nil"/>
            </w:tcBorders>
            <w:noWrap/>
            <w:vAlign w:val="center"/>
          </w:tcPr>
          <w:p w14:paraId="7AABF07B">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彰武县行政区划内水利局市场主体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000000"/>
                <w:position w:val="0"/>
                <w:sz w:val="24"/>
                <w:szCs w:val="24"/>
                <w:highlight w:val="none"/>
              </w:rPr>
              <w:t>彰武县伟华烧结砖厂</w:t>
            </w:r>
            <w:r>
              <w:rPr>
                <w:rFonts w:hint="eastAsia" w:ascii="仿宋" w:hAnsi="仿宋" w:eastAsia="仿宋" w:cs="仿宋"/>
                <w:color w:val="auto"/>
                <w:position w:val="0"/>
                <w:sz w:val="24"/>
                <w:szCs w:val="24"/>
                <w:highlight w:val="none"/>
              </w:rPr>
              <w:t>等</w:t>
            </w:r>
            <w:r>
              <w:rPr>
                <w:rFonts w:hint="eastAsia" w:ascii="仿宋" w:hAnsi="仿宋" w:eastAsia="仿宋" w:cs="仿宋"/>
                <w:color w:val="auto"/>
                <w:position w:val="0"/>
                <w:sz w:val="24"/>
                <w:szCs w:val="24"/>
                <w:highlight w:val="none"/>
                <w:lang w:val="en-US" w:eastAsia="zh-CN"/>
              </w:rPr>
              <w:t>75</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名</w:t>
            </w:r>
            <w:r>
              <w:rPr>
                <w:rFonts w:hint="eastAsia" w:ascii="仿宋" w:hAnsi="仿宋" w:eastAsia="仿宋" w:cs="仿宋"/>
                <w:color w:val="auto"/>
                <w:position w:val="0"/>
                <w:sz w:val="24"/>
                <w:szCs w:val="24"/>
                <w:highlight w:val="none"/>
              </w:rPr>
              <w:t>录库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县水利局按照6</w:t>
            </w:r>
            <w:r>
              <w:rPr>
                <w:rFonts w:hint="eastAsia" w:ascii="仿宋" w:hAnsi="仿宋" w:eastAsia="仿宋" w:cs="仿宋"/>
                <w:color w:val="auto"/>
                <w:position w:val="0"/>
                <w:sz w:val="24"/>
                <w:szCs w:val="24"/>
                <w:highlight w:val="none"/>
              </w:rPr>
              <w:t>%</w:t>
            </w:r>
            <w:r>
              <w:rPr>
                <w:rFonts w:hint="eastAsia" w:ascii="仿宋" w:hAnsi="仿宋" w:eastAsia="仿宋" w:cs="仿宋"/>
                <w:color w:val="auto"/>
                <w:position w:val="0"/>
                <w:sz w:val="24"/>
                <w:szCs w:val="24"/>
                <w:highlight w:val="none"/>
                <w:lang w:val="en-US" w:eastAsia="zh-CN"/>
              </w:rPr>
              <w:t>的</w:t>
            </w:r>
            <w:r>
              <w:rPr>
                <w:rFonts w:hint="eastAsia" w:ascii="仿宋" w:hAnsi="仿宋" w:eastAsia="仿宋" w:cs="仿宋"/>
                <w:color w:val="auto"/>
                <w:position w:val="0"/>
                <w:sz w:val="24"/>
                <w:szCs w:val="24"/>
                <w:highlight w:val="none"/>
              </w:rPr>
              <w:t>比例抽取</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p>
        </w:tc>
        <w:tc>
          <w:tcPr>
            <w:tcW w:w="2544" w:type="dxa"/>
            <w:tcBorders>
              <w:tl2br w:val="nil"/>
              <w:tr2bl w:val="nil"/>
            </w:tcBorders>
            <w:noWrap/>
            <w:vAlign w:val="center"/>
          </w:tcPr>
          <w:p w14:paraId="37309D6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各类市场主体是否违反《中华人民共和国水土保持法》等</w:t>
            </w:r>
            <w:r>
              <w:rPr>
                <w:rFonts w:hint="eastAsia" w:ascii="仿宋" w:hAnsi="仿宋" w:eastAsia="仿宋" w:cs="仿宋"/>
                <w:color w:val="auto"/>
                <w:position w:val="0"/>
                <w:sz w:val="24"/>
                <w:szCs w:val="24"/>
                <w:highlight w:val="none"/>
                <w:lang w:eastAsia="zh-CN"/>
              </w:rPr>
              <w:t>法律法规。</w:t>
            </w:r>
          </w:p>
        </w:tc>
        <w:tc>
          <w:tcPr>
            <w:tcW w:w="3168" w:type="dxa"/>
            <w:tcBorders>
              <w:tl2br w:val="nil"/>
              <w:tr2bl w:val="nil"/>
            </w:tcBorders>
            <w:noWrap/>
            <w:vAlign w:val="center"/>
          </w:tcPr>
          <w:p w14:paraId="71BD7353">
            <w:pPr>
              <w:keepNext w:val="0"/>
              <w:keepLines w:val="0"/>
              <w:pageBreakBefore w:val="0"/>
              <w:numPr>
                <w:ilvl w:val="0"/>
                <w:numId w:val="0"/>
              </w:numPr>
              <w:kinsoku/>
              <w:wordWrap/>
              <w:overflowPunct/>
              <w:topLinePunct w:val="0"/>
              <w:autoSpaceDE/>
              <w:autoSpaceDN/>
              <w:bidi w:val="0"/>
              <w:adjustRightInd/>
              <w:snapToGrid w:val="0"/>
              <w:spacing w:before="0" w:line="340" w:lineRule="exact"/>
              <w:ind w:left="0" w:leftChars="0" w:right="0" w:rightChars="0" w:firstLine="0" w:firstLineChars="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《中华人民共和国水土保持法》第四十三条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 xml:space="preserve"> 第四十四条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第四十五条</w:t>
            </w:r>
            <w:r>
              <w:rPr>
                <w:rFonts w:hint="eastAsia" w:ascii="仿宋" w:hAnsi="仿宋" w:eastAsia="仿宋" w:cs="仿宋"/>
                <w:color w:val="000000"/>
                <w:kern w:val="0"/>
                <w:sz w:val="24"/>
                <w:szCs w:val="24"/>
                <w:highlight w:val="none"/>
                <w:lang w:val="en-US" w:eastAsia="zh-CN"/>
              </w:rPr>
              <w:t>等</w:t>
            </w:r>
            <w:r>
              <w:rPr>
                <w:rFonts w:hint="eastAsia" w:ascii="仿宋" w:hAnsi="仿宋" w:eastAsia="仿宋" w:cs="仿宋"/>
                <w:sz w:val="24"/>
                <w:szCs w:val="24"/>
                <w:highlight w:val="none"/>
              </w:rPr>
              <w:t>相应的法律、法规、规章。</w:t>
            </w:r>
          </w:p>
        </w:tc>
        <w:tc>
          <w:tcPr>
            <w:tcW w:w="1752" w:type="dxa"/>
            <w:tcBorders>
              <w:tl2br w:val="nil"/>
              <w:tr2bl w:val="nil"/>
            </w:tcBorders>
            <w:noWrap/>
            <w:vAlign w:val="center"/>
          </w:tcPr>
          <w:p w14:paraId="40C80503">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p>
          <w:p w14:paraId="06F9B34A">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p>
          <w:p w14:paraId="4F13D5C7">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三</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2</w:t>
            </w:r>
            <w:r>
              <w:rPr>
                <w:rFonts w:hint="eastAsia" w:ascii="仿宋" w:hAnsi="仿宋" w:eastAsia="仿宋" w:cs="仿宋"/>
                <w:color w:val="auto"/>
                <w:position w:val="0"/>
                <w:sz w:val="24"/>
                <w:szCs w:val="24"/>
                <w:highlight w:val="none"/>
              </w:rPr>
              <w:t xml:space="preserve">家 </w:t>
            </w:r>
          </w:p>
          <w:p w14:paraId="00B4FADE">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四</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2</w:t>
            </w:r>
            <w:r>
              <w:rPr>
                <w:rFonts w:hint="eastAsia" w:ascii="仿宋" w:hAnsi="仿宋" w:eastAsia="仿宋" w:cs="仿宋"/>
                <w:color w:val="auto"/>
                <w:position w:val="0"/>
                <w:sz w:val="24"/>
                <w:szCs w:val="24"/>
                <w:highlight w:val="none"/>
              </w:rPr>
              <w:t>家</w:t>
            </w:r>
          </w:p>
          <w:p w14:paraId="6D93FED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p>
        </w:tc>
        <w:tc>
          <w:tcPr>
            <w:tcW w:w="1307" w:type="dxa"/>
            <w:tcBorders>
              <w:tl2br w:val="nil"/>
              <w:tr2bl w:val="nil"/>
            </w:tcBorders>
            <w:noWrap/>
            <w:vAlign w:val="center"/>
          </w:tcPr>
          <w:p w14:paraId="0C8674B0">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position w:val="0"/>
                <w:sz w:val="24"/>
                <w:szCs w:val="24"/>
                <w:highlight w:val="none"/>
              </w:rPr>
              <w:t>现场查验</w:t>
            </w:r>
            <w:r>
              <w:rPr>
                <w:rFonts w:hint="eastAsia" w:ascii="仿宋" w:hAnsi="仿宋" w:eastAsia="仿宋" w:cs="仿宋"/>
                <w:color w:val="000000"/>
                <w:position w:val="0"/>
                <w:sz w:val="24"/>
                <w:szCs w:val="24"/>
                <w:highlight w:val="none"/>
                <w:lang w:eastAsia="zh-CN"/>
              </w:rPr>
              <w:t>、</w:t>
            </w:r>
            <w:r>
              <w:rPr>
                <w:rFonts w:hint="eastAsia" w:ascii="仿宋" w:hAnsi="仿宋" w:eastAsia="仿宋" w:cs="仿宋"/>
                <w:color w:val="000000"/>
                <w:position w:val="0"/>
                <w:sz w:val="24"/>
                <w:szCs w:val="24"/>
                <w:highlight w:val="none"/>
                <w:lang w:val="en-US" w:eastAsia="zh-CN"/>
              </w:rPr>
              <w:t>检验</w:t>
            </w:r>
          </w:p>
        </w:tc>
        <w:tc>
          <w:tcPr>
            <w:tcW w:w="1472" w:type="dxa"/>
            <w:tcBorders>
              <w:tl2br w:val="nil"/>
              <w:tr2bl w:val="nil"/>
            </w:tcBorders>
            <w:noWrap/>
            <w:vAlign w:val="center"/>
          </w:tcPr>
          <w:p w14:paraId="738ADF6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3BFD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44866A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13</w:t>
            </w:r>
          </w:p>
        </w:tc>
        <w:tc>
          <w:tcPr>
            <w:tcW w:w="1356" w:type="dxa"/>
            <w:tcBorders>
              <w:tl2br w:val="nil"/>
              <w:tr2bl w:val="nil"/>
            </w:tcBorders>
            <w:noWrap/>
            <w:vAlign w:val="center"/>
          </w:tcPr>
          <w:p w14:paraId="356426C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彰武县水利局</w:t>
            </w:r>
          </w:p>
        </w:tc>
        <w:tc>
          <w:tcPr>
            <w:tcW w:w="2136" w:type="dxa"/>
            <w:tcBorders>
              <w:tl2br w:val="nil"/>
              <w:tr2bl w:val="nil"/>
            </w:tcBorders>
            <w:noWrap/>
            <w:vAlign w:val="center"/>
          </w:tcPr>
          <w:p w14:paraId="3733E89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彰武县行政区划内水利局市场主体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000000"/>
                <w:position w:val="0"/>
                <w:sz w:val="24"/>
                <w:szCs w:val="24"/>
                <w:highlight w:val="none"/>
              </w:rPr>
              <w:t>彰武县逍遥楼宾馆等</w:t>
            </w:r>
            <w:r>
              <w:rPr>
                <w:rFonts w:hint="eastAsia" w:ascii="仿宋" w:hAnsi="仿宋" w:eastAsia="仿宋" w:cs="仿宋"/>
                <w:color w:val="auto"/>
                <w:position w:val="0"/>
                <w:sz w:val="24"/>
                <w:szCs w:val="24"/>
                <w:highlight w:val="none"/>
                <w:lang w:val="en-US" w:eastAsia="zh-CN"/>
              </w:rPr>
              <w:t>63</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名录库中</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县水利局按照7</w:t>
            </w:r>
            <w:r>
              <w:rPr>
                <w:rFonts w:hint="eastAsia" w:ascii="仿宋" w:hAnsi="仿宋" w:eastAsia="仿宋" w:cs="仿宋"/>
                <w:color w:val="auto"/>
                <w:position w:val="0"/>
                <w:sz w:val="24"/>
                <w:szCs w:val="24"/>
                <w:highlight w:val="none"/>
              </w:rPr>
              <w:t>%</w:t>
            </w:r>
            <w:r>
              <w:rPr>
                <w:rFonts w:hint="eastAsia" w:ascii="仿宋" w:hAnsi="仿宋" w:eastAsia="仿宋" w:cs="仿宋"/>
                <w:color w:val="auto"/>
                <w:position w:val="0"/>
                <w:sz w:val="24"/>
                <w:szCs w:val="24"/>
                <w:highlight w:val="none"/>
                <w:lang w:val="en-US" w:eastAsia="zh-CN"/>
              </w:rPr>
              <w:t>的</w:t>
            </w:r>
            <w:r>
              <w:rPr>
                <w:rFonts w:hint="eastAsia" w:ascii="仿宋" w:hAnsi="仿宋" w:eastAsia="仿宋" w:cs="仿宋"/>
                <w:color w:val="auto"/>
                <w:position w:val="0"/>
                <w:sz w:val="24"/>
                <w:szCs w:val="24"/>
                <w:highlight w:val="none"/>
              </w:rPr>
              <w:t>比例随机抽取</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p>
        </w:tc>
        <w:tc>
          <w:tcPr>
            <w:tcW w:w="2544" w:type="dxa"/>
            <w:tcBorders>
              <w:tl2br w:val="nil"/>
              <w:tr2bl w:val="nil"/>
            </w:tcBorders>
            <w:noWrap/>
            <w:vAlign w:val="center"/>
          </w:tcPr>
          <w:p w14:paraId="338D68A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各类市场主体是否违反《中华人民共和国水法</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辽宁省取水许可和水资源费征收管理实施办法</w:t>
            </w:r>
            <w:r>
              <w:rPr>
                <w:rFonts w:hint="eastAsia" w:ascii="仿宋" w:hAnsi="仿宋" w:eastAsia="仿宋" w:cs="仿宋"/>
                <w:color w:val="auto"/>
                <w:position w:val="0"/>
                <w:sz w:val="24"/>
                <w:szCs w:val="24"/>
                <w:highlight w:val="none"/>
                <w:lang w:eastAsia="zh-CN"/>
              </w:rPr>
              <w:t>》等法律法规。</w:t>
            </w:r>
          </w:p>
        </w:tc>
        <w:tc>
          <w:tcPr>
            <w:tcW w:w="3168" w:type="dxa"/>
            <w:tcBorders>
              <w:tl2br w:val="nil"/>
              <w:tr2bl w:val="nil"/>
            </w:tcBorders>
            <w:noWrap/>
            <w:vAlign w:val="center"/>
          </w:tcPr>
          <w:p w14:paraId="26BF42F0">
            <w:pPr>
              <w:keepNext w:val="0"/>
              <w:keepLines w:val="0"/>
              <w:pageBreakBefore w:val="0"/>
              <w:widowControl w:val="0"/>
              <w:numPr>
                <w:ilvl w:val="0"/>
                <w:numId w:val="0"/>
              </w:numPr>
              <w:kinsoku/>
              <w:wordWrap/>
              <w:overflowPunct/>
              <w:topLinePunct w:val="0"/>
              <w:autoSpaceDE/>
              <w:autoSpaceDN/>
              <w:bidi w:val="0"/>
              <w:adjustRightInd/>
              <w:snapToGrid w:val="0"/>
              <w:spacing w:before="0" w:line="340" w:lineRule="exact"/>
              <w:ind w:right="0" w:firstLine="0"/>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《中华人民共和国水法》第五十九条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《辽宁省取水许可和水资源费征收管理实施办法》第三十条</w:t>
            </w:r>
            <w:r>
              <w:rPr>
                <w:rFonts w:hint="eastAsia" w:ascii="仿宋" w:hAnsi="仿宋" w:eastAsia="仿宋" w:cs="仿宋"/>
                <w:color w:val="000000"/>
                <w:kern w:val="0"/>
                <w:sz w:val="24"/>
                <w:szCs w:val="24"/>
                <w:highlight w:val="none"/>
                <w:lang w:val="en-US" w:eastAsia="zh-CN"/>
              </w:rPr>
              <w:t>等</w:t>
            </w:r>
            <w:r>
              <w:rPr>
                <w:rFonts w:hint="eastAsia" w:ascii="仿宋" w:hAnsi="仿宋" w:eastAsia="仿宋" w:cs="仿宋"/>
                <w:sz w:val="24"/>
                <w:szCs w:val="24"/>
                <w:highlight w:val="none"/>
              </w:rPr>
              <w:t>相应的法律、法规、规章。</w:t>
            </w:r>
          </w:p>
        </w:tc>
        <w:tc>
          <w:tcPr>
            <w:tcW w:w="1752" w:type="dxa"/>
            <w:tcBorders>
              <w:tl2br w:val="nil"/>
              <w:tr2bl w:val="nil"/>
            </w:tcBorders>
            <w:noWrap/>
            <w:vAlign w:val="center"/>
          </w:tcPr>
          <w:p w14:paraId="501DBF4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三</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p>
        </w:tc>
        <w:tc>
          <w:tcPr>
            <w:tcW w:w="1307" w:type="dxa"/>
            <w:tcBorders>
              <w:tl2br w:val="nil"/>
              <w:tr2bl w:val="nil"/>
            </w:tcBorders>
            <w:noWrap/>
            <w:vAlign w:val="center"/>
          </w:tcPr>
          <w:p w14:paraId="55B8AD3B">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position w:val="0"/>
                <w:sz w:val="24"/>
                <w:szCs w:val="24"/>
                <w:highlight w:val="none"/>
              </w:rPr>
              <w:t>现场查验</w:t>
            </w:r>
            <w:r>
              <w:rPr>
                <w:rFonts w:hint="eastAsia" w:ascii="仿宋" w:hAnsi="仿宋" w:eastAsia="仿宋" w:cs="仿宋"/>
                <w:color w:val="000000"/>
                <w:position w:val="0"/>
                <w:sz w:val="24"/>
                <w:szCs w:val="24"/>
                <w:highlight w:val="none"/>
                <w:lang w:eastAsia="zh-CN"/>
              </w:rPr>
              <w:t>、</w:t>
            </w:r>
            <w:r>
              <w:rPr>
                <w:rFonts w:hint="eastAsia" w:ascii="仿宋" w:hAnsi="仿宋" w:eastAsia="仿宋" w:cs="仿宋"/>
                <w:color w:val="auto"/>
                <w:position w:val="0"/>
                <w:sz w:val="24"/>
                <w:szCs w:val="24"/>
                <w:highlight w:val="none"/>
              </w:rPr>
              <w:t>检验</w:t>
            </w:r>
          </w:p>
        </w:tc>
        <w:tc>
          <w:tcPr>
            <w:tcW w:w="1472" w:type="dxa"/>
            <w:tcBorders>
              <w:tl2br w:val="nil"/>
              <w:tr2bl w:val="nil"/>
            </w:tcBorders>
            <w:noWrap/>
            <w:vAlign w:val="center"/>
          </w:tcPr>
          <w:p w14:paraId="03CA5FD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276C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32D7A36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14</w:t>
            </w:r>
          </w:p>
        </w:tc>
        <w:tc>
          <w:tcPr>
            <w:tcW w:w="1356" w:type="dxa"/>
            <w:tcBorders>
              <w:tl2br w:val="nil"/>
              <w:tr2bl w:val="nil"/>
            </w:tcBorders>
            <w:noWrap/>
            <w:vAlign w:val="center"/>
          </w:tcPr>
          <w:p w14:paraId="3DFADCF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彰武县卫生健康局</w:t>
            </w:r>
          </w:p>
        </w:tc>
        <w:tc>
          <w:tcPr>
            <w:tcW w:w="2136" w:type="dxa"/>
            <w:tcBorders>
              <w:tl2br w:val="nil"/>
              <w:tr2bl w:val="nil"/>
            </w:tcBorders>
            <w:noWrap/>
            <w:vAlign w:val="center"/>
          </w:tcPr>
          <w:p w14:paraId="35063052">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彰武县行政区划内（辽宁春潮汽车零部件股份有限公司）等68家市场主体名录库中，不超过20%比例抽取8家。</w:t>
            </w:r>
          </w:p>
        </w:tc>
        <w:tc>
          <w:tcPr>
            <w:tcW w:w="2544" w:type="dxa"/>
            <w:tcBorders>
              <w:tl2br w:val="nil"/>
              <w:tr2bl w:val="nil"/>
            </w:tcBorders>
            <w:noWrap/>
            <w:vAlign w:val="center"/>
          </w:tcPr>
          <w:p w14:paraId="16D6706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建立、健全职业卫生管理制度和操作规程情况，建立、健全职业卫生档案和劳动者健康监护档案情况，建立、健全工作场所职业病危害因素监测及评价制度情况等。</w:t>
            </w:r>
          </w:p>
        </w:tc>
        <w:tc>
          <w:tcPr>
            <w:tcW w:w="3168" w:type="dxa"/>
            <w:tcBorders>
              <w:tl2br w:val="nil"/>
              <w:tr2bl w:val="nil"/>
            </w:tcBorders>
            <w:noWrap/>
            <w:vAlign w:val="center"/>
          </w:tcPr>
          <w:p w14:paraId="0F2FD09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sz w:val="24"/>
                <w:szCs w:val="24"/>
                <w:highlight w:val="none"/>
              </w:rPr>
              <w:t>《中华人民共和国</w:t>
            </w:r>
            <w:r>
              <w:rPr>
                <w:rFonts w:hint="eastAsia" w:ascii="仿宋" w:hAnsi="仿宋" w:eastAsia="仿宋" w:cs="仿宋"/>
                <w:sz w:val="24"/>
                <w:szCs w:val="24"/>
                <w:highlight w:val="none"/>
                <w:lang w:eastAsia="zh-CN"/>
              </w:rPr>
              <w:t>职业病</w:t>
            </w:r>
            <w:r>
              <w:rPr>
                <w:rFonts w:hint="eastAsia" w:ascii="仿宋" w:hAnsi="仿宋" w:eastAsia="仿宋" w:cs="仿宋"/>
                <w:sz w:val="24"/>
                <w:szCs w:val="24"/>
                <w:highlight w:val="none"/>
              </w:rPr>
              <w:t>防治法</w:t>
            </w:r>
            <w:r>
              <w:rPr>
                <w:rFonts w:hint="eastAsia" w:ascii="仿宋" w:hAnsi="仿宋" w:eastAsia="仿宋" w:cs="仿宋"/>
                <w:sz w:val="24"/>
                <w:szCs w:val="24"/>
                <w:highlight w:val="none"/>
                <w:lang w:eastAsia="zh-CN"/>
              </w:rPr>
              <w:t>》第</w:t>
            </w:r>
            <w:r>
              <w:rPr>
                <w:rFonts w:hint="eastAsia" w:ascii="仿宋" w:hAnsi="仿宋" w:eastAsia="仿宋" w:cs="仿宋"/>
                <w:sz w:val="24"/>
                <w:szCs w:val="24"/>
                <w:highlight w:val="none"/>
                <w:lang w:val="en-US" w:eastAsia="zh-CN"/>
              </w:rPr>
              <w:t>五十五条、第五十六条</w:t>
            </w:r>
            <w:r>
              <w:rPr>
                <w:rFonts w:hint="eastAsia" w:ascii="仿宋" w:hAnsi="仿宋" w:eastAsia="仿宋" w:cs="仿宋"/>
                <w:sz w:val="24"/>
                <w:szCs w:val="24"/>
                <w:highlight w:val="none"/>
                <w:lang w:eastAsia="zh-CN"/>
              </w:rPr>
              <w:t>等相应的法律、法规、规章。</w:t>
            </w:r>
          </w:p>
        </w:tc>
        <w:tc>
          <w:tcPr>
            <w:tcW w:w="1752" w:type="dxa"/>
            <w:tcBorders>
              <w:tl2br w:val="nil"/>
              <w:tr2bl w:val="nil"/>
            </w:tcBorders>
            <w:noWrap/>
            <w:vAlign w:val="center"/>
          </w:tcPr>
          <w:p w14:paraId="4BB3D46C">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第一季度1家</w:t>
            </w:r>
          </w:p>
          <w:p w14:paraId="1E95C1C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第二季度3家</w:t>
            </w:r>
          </w:p>
          <w:p w14:paraId="24B2743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第三季度2家</w:t>
            </w:r>
          </w:p>
          <w:p w14:paraId="200CDAF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第四季度2家</w:t>
            </w:r>
          </w:p>
        </w:tc>
        <w:tc>
          <w:tcPr>
            <w:tcW w:w="1307" w:type="dxa"/>
            <w:tcBorders>
              <w:tl2br w:val="nil"/>
              <w:tr2bl w:val="nil"/>
            </w:tcBorders>
            <w:noWrap/>
            <w:vAlign w:val="center"/>
          </w:tcPr>
          <w:p w14:paraId="39EC167B">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sz w:val="24"/>
                <w:szCs w:val="24"/>
                <w:highlight w:val="none"/>
              </w:rPr>
              <w:t>现场调阅审查</w:t>
            </w:r>
          </w:p>
        </w:tc>
        <w:tc>
          <w:tcPr>
            <w:tcW w:w="1472" w:type="dxa"/>
            <w:tcBorders>
              <w:tl2br w:val="nil"/>
              <w:tr2bl w:val="nil"/>
            </w:tcBorders>
            <w:noWrap/>
            <w:vAlign w:val="center"/>
          </w:tcPr>
          <w:p w14:paraId="37538A62">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77D26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4CCFF17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15</w:t>
            </w:r>
          </w:p>
        </w:tc>
        <w:tc>
          <w:tcPr>
            <w:tcW w:w="1356" w:type="dxa"/>
            <w:tcBorders>
              <w:tl2br w:val="nil"/>
              <w:tr2bl w:val="nil"/>
            </w:tcBorders>
            <w:shd w:val="clear" w:color="auto" w:fill="auto"/>
            <w:noWrap/>
            <w:vAlign w:val="center"/>
          </w:tcPr>
          <w:p w14:paraId="5D2E607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彰武县卫生健康局</w:t>
            </w:r>
          </w:p>
        </w:tc>
        <w:tc>
          <w:tcPr>
            <w:tcW w:w="2136" w:type="dxa"/>
            <w:tcBorders>
              <w:tl2br w:val="nil"/>
              <w:tr2bl w:val="nil"/>
            </w:tcBorders>
            <w:shd w:val="clear" w:color="auto" w:fill="auto"/>
            <w:noWrap/>
            <w:vAlign w:val="center"/>
          </w:tcPr>
          <w:p w14:paraId="0DB085D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bidi="ar-SA"/>
              </w:rPr>
              <w:t>彰武县行政区划内</w:t>
            </w:r>
            <w:r>
              <w:rPr>
                <w:rFonts w:hint="eastAsia" w:ascii="仿宋" w:hAnsi="仿宋" w:eastAsia="仿宋" w:cs="仿宋"/>
                <w:color w:val="000000"/>
                <w:kern w:val="0"/>
                <w:sz w:val="24"/>
                <w:szCs w:val="24"/>
                <w:highlight w:val="none"/>
                <w:lang w:val="en-US" w:eastAsia="zh-CN"/>
              </w:rPr>
              <w:t>38家市场主体名录库中，不超过20%比例抽取6家。</w:t>
            </w:r>
          </w:p>
        </w:tc>
        <w:tc>
          <w:tcPr>
            <w:tcW w:w="2544" w:type="dxa"/>
            <w:tcBorders>
              <w:tl2br w:val="nil"/>
              <w:tr2bl w:val="nil"/>
            </w:tcBorders>
            <w:shd w:val="clear" w:color="auto" w:fill="auto"/>
            <w:noWrap/>
            <w:vAlign w:val="center"/>
          </w:tcPr>
          <w:p w14:paraId="77D6492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《卫生许可证》、健康证、检测报告及相关制度、控烟请情况。</w:t>
            </w:r>
          </w:p>
        </w:tc>
        <w:tc>
          <w:tcPr>
            <w:tcW w:w="3168" w:type="dxa"/>
            <w:tcBorders>
              <w:tl2br w:val="nil"/>
              <w:tr2bl w:val="nil"/>
            </w:tcBorders>
            <w:shd w:val="clear" w:color="auto" w:fill="auto"/>
            <w:noWrap/>
            <w:vAlign w:val="center"/>
          </w:tcPr>
          <w:p w14:paraId="385B8ED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《公共场所卫生管理条例》第十三条，《公共场所卫生管理条例实施细则》第三十一条等相应的法律、法规、规章。</w:t>
            </w:r>
          </w:p>
        </w:tc>
        <w:tc>
          <w:tcPr>
            <w:tcW w:w="1752" w:type="dxa"/>
            <w:tcBorders>
              <w:tl2br w:val="nil"/>
              <w:tr2bl w:val="nil"/>
            </w:tcBorders>
            <w:shd w:val="clear" w:color="auto" w:fill="auto"/>
            <w:noWrap/>
            <w:vAlign w:val="center"/>
          </w:tcPr>
          <w:p w14:paraId="0B86610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第一季度1家</w:t>
            </w:r>
          </w:p>
          <w:p w14:paraId="74B46BD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第二季度2家</w:t>
            </w:r>
          </w:p>
          <w:p w14:paraId="50D74DA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第三季度2家</w:t>
            </w:r>
          </w:p>
          <w:p w14:paraId="5030B71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第四季度1家</w:t>
            </w:r>
          </w:p>
        </w:tc>
        <w:tc>
          <w:tcPr>
            <w:tcW w:w="1307" w:type="dxa"/>
            <w:tcBorders>
              <w:tl2br w:val="nil"/>
              <w:tr2bl w:val="nil"/>
            </w:tcBorders>
            <w:shd w:val="clear" w:color="auto" w:fill="auto"/>
            <w:noWrap/>
            <w:vAlign w:val="center"/>
          </w:tcPr>
          <w:p w14:paraId="22A73F6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现场调阅审查</w:t>
            </w:r>
          </w:p>
        </w:tc>
        <w:tc>
          <w:tcPr>
            <w:tcW w:w="1472" w:type="dxa"/>
            <w:tcBorders>
              <w:tl2br w:val="nil"/>
              <w:tr2bl w:val="nil"/>
            </w:tcBorders>
            <w:shd w:val="clear" w:color="auto" w:fill="auto"/>
            <w:noWrap/>
            <w:vAlign w:val="center"/>
          </w:tcPr>
          <w:p w14:paraId="6A1E4C2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彰武县文化旅游和广播电视局</w:t>
            </w:r>
          </w:p>
        </w:tc>
      </w:tr>
      <w:tr w14:paraId="6AA5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09301A5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16</w:t>
            </w:r>
          </w:p>
        </w:tc>
        <w:tc>
          <w:tcPr>
            <w:tcW w:w="1356" w:type="dxa"/>
            <w:tcBorders>
              <w:tl2br w:val="nil"/>
              <w:tr2bl w:val="nil"/>
            </w:tcBorders>
            <w:noWrap/>
            <w:vAlign w:val="center"/>
          </w:tcPr>
          <w:p w14:paraId="17F9E05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w:t>
            </w:r>
            <w:r>
              <w:rPr>
                <w:rFonts w:hint="eastAsia" w:ascii="仿宋" w:hAnsi="仿宋" w:eastAsia="仿宋" w:cs="仿宋"/>
                <w:color w:val="000000"/>
                <w:kern w:val="0"/>
                <w:sz w:val="24"/>
                <w:szCs w:val="24"/>
                <w:highlight w:val="none"/>
              </w:rPr>
              <w:t>文化旅游和广播电视局</w:t>
            </w:r>
          </w:p>
        </w:tc>
        <w:tc>
          <w:tcPr>
            <w:tcW w:w="2136" w:type="dxa"/>
            <w:tcBorders>
              <w:tl2br w:val="nil"/>
              <w:tr2bl w:val="nil"/>
            </w:tcBorders>
            <w:noWrap/>
            <w:vAlign w:val="center"/>
          </w:tcPr>
          <w:p w14:paraId="6F179249">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彰武县行政区划内互联网营业场所</w:t>
            </w: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家文旅广电局市场主体</w:t>
            </w:r>
            <w:r>
              <w:rPr>
                <w:rFonts w:hint="eastAsia" w:ascii="仿宋" w:hAnsi="仿宋" w:eastAsia="仿宋" w:cs="仿宋"/>
                <w:color w:val="000000"/>
                <w:sz w:val="24"/>
                <w:szCs w:val="24"/>
                <w:highlight w:val="none"/>
                <w:lang w:val="en-US" w:eastAsia="zh-CN"/>
              </w:rPr>
              <w:t>名录</w:t>
            </w:r>
            <w:r>
              <w:rPr>
                <w:rFonts w:hint="eastAsia" w:ascii="仿宋" w:hAnsi="仿宋" w:eastAsia="仿宋" w:cs="仿宋"/>
                <w:color w:val="000000"/>
                <w:sz w:val="24"/>
                <w:szCs w:val="24"/>
                <w:highlight w:val="none"/>
              </w:rPr>
              <w:t>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noWrap/>
            <w:vAlign w:val="center"/>
          </w:tcPr>
          <w:p w14:paraId="78F4377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从</w:t>
            </w:r>
            <w:r>
              <w:rPr>
                <w:rFonts w:hint="eastAsia" w:ascii="仿宋" w:hAnsi="仿宋" w:eastAsia="仿宋" w:cs="仿宋"/>
                <w:color w:val="000000"/>
                <w:kern w:val="0"/>
                <w:sz w:val="24"/>
                <w:szCs w:val="24"/>
                <w:highlight w:val="none"/>
                <w:lang w:eastAsia="zh-CN"/>
              </w:rPr>
              <w:t>事互</w:t>
            </w:r>
            <w:r>
              <w:rPr>
                <w:rFonts w:hint="eastAsia" w:ascii="仿宋" w:hAnsi="仿宋" w:eastAsia="仿宋" w:cs="仿宋"/>
                <w:color w:val="000000"/>
                <w:kern w:val="0"/>
                <w:sz w:val="24"/>
                <w:szCs w:val="24"/>
                <w:highlight w:val="none"/>
              </w:rPr>
              <w:t>联网上网服务经营活动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是否涂改、出租出借或者其他形式转让《网络文化经营许可证》</w:t>
            </w:r>
            <w:r>
              <w:rPr>
                <w:rFonts w:hint="eastAsia" w:ascii="仿宋" w:hAnsi="仿宋" w:eastAsia="仿宋" w:cs="仿宋"/>
                <w:color w:val="000000"/>
                <w:kern w:val="0"/>
                <w:sz w:val="24"/>
                <w:szCs w:val="24"/>
                <w:highlight w:val="none"/>
                <w:lang w:val="en-US" w:eastAsia="zh-CN"/>
              </w:rPr>
              <w:t>等。</w:t>
            </w:r>
          </w:p>
        </w:tc>
        <w:tc>
          <w:tcPr>
            <w:tcW w:w="3168" w:type="dxa"/>
            <w:tcBorders>
              <w:tl2br w:val="nil"/>
              <w:tr2bl w:val="nil"/>
            </w:tcBorders>
            <w:noWrap/>
            <w:vAlign w:val="center"/>
          </w:tcPr>
          <w:p w14:paraId="634D857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《文化市场综合行政执法管理办法》</w:t>
            </w:r>
            <w:r>
              <w:rPr>
                <w:rFonts w:hint="eastAsia" w:ascii="仿宋" w:hAnsi="仿宋" w:eastAsia="仿宋" w:cs="仿宋"/>
                <w:color w:val="000000"/>
                <w:sz w:val="24"/>
                <w:szCs w:val="24"/>
                <w:highlight w:val="none"/>
                <w:lang w:val="en-US" w:eastAsia="zh-CN"/>
              </w:rPr>
              <w:t>第二条，</w:t>
            </w:r>
            <w:r>
              <w:rPr>
                <w:rFonts w:hint="eastAsia" w:ascii="仿宋" w:hAnsi="仿宋" w:eastAsia="仿宋" w:cs="仿宋"/>
                <w:color w:val="000000"/>
                <w:sz w:val="24"/>
                <w:szCs w:val="24"/>
                <w:highlight w:val="none"/>
              </w:rPr>
              <w:t>《互联网上网服务营业场所管理条例》第四条条等相应的法律、法规、规章。</w:t>
            </w:r>
          </w:p>
        </w:tc>
        <w:tc>
          <w:tcPr>
            <w:tcW w:w="1752" w:type="dxa"/>
            <w:tcBorders>
              <w:tl2br w:val="nil"/>
              <w:tr2bl w:val="nil"/>
            </w:tcBorders>
            <w:noWrap/>
            <w:vAlign w:val="center"/>
          </w:tcPr>
          <w:p w14:paraId="2BC768F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第二季度1家</w:t>
            </w:r>
          </w:p>
        </w:tc>
        <w:tc>
          <w:tcPr>
            <w:tcW w:w="1307" w:type="dxa"/>
            <w:tcBorders>
              <w:tl2br w:val="nil"/>
              <w:tr2bl w:val="nil"/>
            </w:tcBorders>
            <w:noWrap/>
            <w:vAlign w:val="center"/>
          </w:tcPr>
          <w:p w14:paraId="492AC71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noWrap/>
            <w:vAlign w:val="center"/>
          </w:tcPr>
          <w:p w14:paraId="2B62F7B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彰武县卫生健康局</w:t>
            </w:r>
            <w:bookmarkStart w:id="0" w:name="_GoBack"/>
            <w:bookmarkEnd w:id="0"/>
          </w:p>
        </w:tc>
      </w:tr>
      <w:tr w14:paraId="4F50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5B0B41A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17</w:t>
            </w:r>
          </w:p>
        </w:tc>
        <w:tc>
          <w:tcPr>
            <w:tcW w:w="1356" w:type="dxa"/>
            <w:tcBorders>
              <w:tl2br w:val="nil"/>
              <w:tr2bl w:val="nil"/>
            </w:tcBorders>
            <w:shd w:val="clear" w:color="auto" w:fill="auto"/>
            <w:noWrap/>
            <w:vAlign w:val="center"/>
          </w:tcPr>
          <w:p w14:paraId="1FD0A2D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w:t>
            </w:r>
            <w:r>
              <w:rPr>
                <w:rFonts w:hint="eastAsia" w:ascii="仿宋" w:hAnsi="仿宋" w:eastAsia="仿宋" w:cs="仿宋"/>
                <w:color w:val="000000"/>
                <w:kern w:val="0"/>
                <w:sz w:val="24"/>
                <w:szCs w:val="24"/>
                <w:highlight w:val="none"/>
              </w:rPr>
              <w:t>文化旅游和广播电视局</w:t>
            </w:r>
          </w:p>
        </w:tc>
        <w:tc>
          <w:tcPr>
            <w:tcW w:w="2136" w:type="dxa"/>
            <w:tcBorders>
              <w:tl2br w:val="nil"/>
              <w:tr2bl w:val="nil"/>
            </w:tcBorders>
            <w:shd w:val="clear" w:color="auto" w:fill="auto"/>
            <w:noWrap/>
            <w:vAlign w:val="center"/>
          </w:tcPr>
          <w:p w14:paraId="1AD54A1C">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彭武县行政区划内</w:t>
            </w:r>
            <w:r>
              <w:rPr>
                <w:rFonts w:hint="eastAsia" w:ascii="仿宋" w:hAnsi="仿宋" w:eastAsia="仿宋" w:cs="仿宋"/>
                <w:color w:val="000000"/>
                <w:sz w:val="24"/>
                <w:szCs w:val="24"/>
                <w:highlight w:val="none"/>
                <w:lang w:val="en-US" w:eastAsia="zh-CN"/>
              </w:rPr>
              <w:t>歌舞娱乐场所70</w:t>
            </w:r>
            <w:r>
              <w:rPr>
                <w:rFonts w:hint="eastAsia" w:ascii="仿宋" w:hAnsi="仿宋" w:eastAsia="仿宋" w:cs="仿宋"/>
                <w:color w:val="000000"/>
                <w:sz w:val="24"/>
                <w:szCs w:val="24"/>
                <w:highlight w:val="none"/>
              </w:rPr>
              <w:t>家文旅广电局市场主体</w:t>
            </w:r>
            <w:r>
              <w:rPr>
                <w:rFonts w:hint="eastAsia" w:ascii="仿宋" w:hAnsi="仿宋" w:eastAsia="仿宋" w:cs="仿宋"/>
                <w:color w:val="000000"/>
                <w:sz w:val="24"/>
                <w:szCs w:val="24"/>
                <w:highlight w:val="none"/>
                <w:lang w:val="en-US" w:eastAsia="zh-CN"/>
              </w:rPr>
              <w:t>名录</w:t>
            </w:r>
            <w:r>
              <w:rPr>
                <w:rFonts w:hint="eastAsia" w:ascii="仿宋" w:hAnsi="仿宋" w:eastAsia="仿宋" w:cs="仿宋"/>
                <w:color w:val="000000"/>
                <w:sz w:val="24"/>
                <w:szCs w:val="24"/>
                <w:highlight w:val="none"/>
              </w:rPr>
              <w:t>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shd w:val="clear" w:color="auto" w:fill="auto"/>
            <w:noWrap/>
            <w:vAlign w:val="center"/>
          </w:tcPr>
          <w:p w14:paraId="6A04C81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是否存在允许未成年人进入娱乐场所等违法行为。</w:t>
            </w:r>
          </w:p>
        </w:tc>
        <w:tc>
          <w:tcPr>
            <w:tcW w:w="3168" w:type="dxa"/>
            <w:tcBorders>
              <w:tl2br w:val="nil"/>
              <w:tr2bl w:val="nil"/>
            </w:tcBorders>
            <w:shd w:val="clear" w:color="auto" w:fill="auto"/>
            <w:noWrap/>
            <w:vAlign w:val="center"/>
          </w:tcPr>
          <w:p w14:paraId="4442912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《娱乐场所管理条例》第四条等相应的法律、法规、规章。</w:t>
            </w:r>
          </w:p>
        </w:tc>
        <w:tc>
          <w:tcPr>
            <w:tcW w:w="1752" w:type="dxa"/>
            <w:tcBorders>
              <w:tl2br w:val="nil"/>
              <w:tr2bl w:val="nil"/>
            </w:tcBorders>
            <w:shd w:val="clear" w:color="auto" w:fill="auto"/>
            <w:noWrap/>
            <w:vAlign w:val="center"/>
          </w:tcPr>
          <w:p w14:paraId="352D485A">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第二季度</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家</w:t>
            </w:r>
          </w:p>
          <w:p w14:paraId="73C90B39">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第三季度</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家</w:t>
            </w:r>
          </w:p>
        </w:tc>
        <w:tc>
          <w:tcPr>
            <w:tcW w:w="1307" w:type="dxa"/>
            <w:tcBorders>
              <w:tl2br w:val="nil"/>
              <w:tr2bl w:val="nil"/>
            </w:tcBorders>
            <w:shd w:val="clear" w:color="auto" w:fill="auto"/>
            <w:noWrap/>
            <w:vAlign w:val="center"/>
          </w:tcPr>
          <w:p w14:paraId="70B81C1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0F0BA77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彰武县卫生健康局</w:t>
            </w:r>
          </w:p>
          <w:p w14:paraId="532044F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彰武县公安局</w:t>
            </w:r>
          </w:p>
        </w:tc>
      </w:tr>
      <w:tr w14:paraId="0525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shd w:val="clear" w:color="auto" w:fill="auto"/>
            <w:noWrap/>
            <w:vAlign w:val="center"/>
          </w:tcPr>
          <w:p w14:paraId="0C9862F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18</w:t>
            </w:r>
          </w:p>
        </w:tc>
        <w:tc>
          <w:tcPr>
            <w:tcW w:w="1356" w:type="dxa"/>
            <w:tcBorders>
              <w:tl2br w:val="nil"/>
              <w:tr2bl w:val="nil"/>
            </w:tcBorders>
            <w:shd w:val="clear" w:color="auto" w:fill="auto"/>
            <w:noWrap/>
            <w:vAlign w:val="center"/>
          </w:tcPr>
          <w:p w14:paraId="67A15A6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彰武县文化旅游和广播电视局</w:t>
            </w:r>
          </w:p>
        </w:tc>
        <w:tc>
          <w:tcPr>
            <w:tcW w:w="2136" w:type="dxa"/>
            <w:tcBorders>
              <w:tl2br w:val="nil"/>
              <w:tr2bl w:val="nil"/>
            </w:tcBorders>
            <w:shd w:val="clear" w:color="auto" w:fill="auto"/>
            <w:noWrap/>
            <w:vAlign w:val="top"/>
          </w:tcPr>
          <w:p w14:paraId="5599187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彭武县行政区划内旅行社7家文旅广电局市场主体名录库中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shd w:val="clear" w:color="auto" w:fill="auto"/>
            <w:noWrap/>
            <w:vAlign w:val="center"/>
          </w:tcPr>
          <w:p w14:paraId="1A04859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是否存在出租出借经营许可等违法行为。</w:t>
            </w:r>
          </w:p>
        </w:tc>
        <w:tc>
          <w:tcPr>
            <w:tcW w:w="3168" w:type="dxa"/>
            <w:tcBorders>
              <w:tl2br w:val="nil"/>
              <w:tr2bl w:val="nil"/>
            </w:tcBorders>
            <w:shd w:val="clear" w:color="auto" w:fill="auto"/>
            <w:noWrap/>
            <w:vAlign w:val="center"/>
          </w:tcPr>
          <w:p w14:paraId="4D9F4E3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《中华人民共和国旅游法》第八十三条、第八十五条等相应的法律、法规、规章。</w:t>
            </w:r>
          </w:p>
        </w:tc>
        <w:tc>
          <w:tcPr>
            <w:tcW w:w="1752" w:type="dxa"/>
            <w:tcBorders>
              <w:tl2br w:val="nil"/>
              <w:tr2bl w:val="nil"/>
            </w:tcBorders>
            <w:shd w:val="clear" w:color="auto" w:fill="auto"/>
            <w:noWrap/>
            <w:vAlign w:val="center"/>
          </w:tcPr>
          <w:p w14:paraId="1EB98AA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第二季度1家</w:t>
            </w:r>
          </w:p>
        </w:tc>
        <w:tc>
          <w:tcPr>
            <w:tcW w:w="1307" w:type="dxa"/>
            <w:tcBorders>
              <w:tl2br w:val="nil"/>
              <w:tr2bl w:val="nil"/>
            </w:tcBorders>
            <w:shd w:val="clear" w:color="auto" w:fill="auto"/>
            <w:noWrap/>
            <w:vAlign w:val="center"/>
          </w:tcPr>
          <w:p w14:paraId="4733242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5CE3DE9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334C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70E855E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19</w:t>
            </w:r>
          </w:p>
        </w:tc>
        <w:tc>
          <w:tcPr>
            <w:tcW w:w="1356" w:type="dxa"/>
            <w:tcBorders>
              <w:tl2br w:val="nil"/>
              <w:tr2bl w:val="nil"/>
            </w:tcBorders>
            <w:noWrap/>
            <w:vAlign w:val="center"/>
          </w:tcPr>
          <w:p w14:paraId="71DA045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彰武县医疗保障局</w:t>
            </w:r>
          </w:p>
        </w:tc>
        <w:tc>
          <w:tcPr>
            <w:tcW w:w="2136" w:type="dxa"/>
            <w:tcBorders>
              <w:tl2br w:val="nil"/>
              <w:tr2bl w:val="nil"/>
            </w:tcBorders>
            <w:noWrap/>
            <w:vAlign w:val="center"/>
          </w:tcPr>
          <w:p w14:paraId="4F163ED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彰武县行政区内阜新市康尔医药连锁有限责任公司中心店等市场主体名录库114家，按照7%的比例随机抽取8家。</w:t>
            </w:r>
          </w:p>
        </w:tc>
        <w:tc>
          <w:tcPr>
            <w:tcW w:w="2544" w:type="dxa"/>
            <w:tcBorders>
              <w:tl2br w:val="nil"/>
              <w:tr2bl w:val="nil"/>
            </w:tcBorders>
            <w:noWrap/>
            <w:vAlign w:val="center"/>
          </w:tcPr>
          <w:p w14:paraId="47EEF6FC">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各类市场主体是否违反医疗保险相关法律、法规、规章等。</w:t>
            </w:r>
          </w:p>
        </w:tc>
        <w:tc>
          <w:tcPr>
            <w:tcW w:w="3168" w:type="dxa"/>
            <w:tcBorders>
              <w:tl2br w:val="nil"/>
              <w:tr2bl w:val="nil"/>
            </w:tcBorders>
            <w:noWrap/>
            <w:vAlign w:val="center"/>
          </w:tcPr>
          <w:p w14:paraId="2B68E1DA">
            <w:pPr>
              <w:keepNext w:val="0"/>
              <w:keepLines w:val="0"/>
              <w:pageBreakBefore w:val="0"/>
              <w:widowControl/>
              <w:kinsoku/>
              <w:wordWrap/>
              <w:overflowPunct/>
              <w:topLinePunct w:val="0"/>
              <w:autoSpaceDE/>
              <w:autoSpaceDN/>
              <w:bidi w:val="0"/>
              <w:adjustRightInd/>
              <w:spacing w:line="340" w:lineRule="exact"/>
              <w:jc w:val="both"/>
              <w:rPr>
                <w:rFonts w:hint="eastAsia" w:ascii="Calibri" w:hAnsi="Calibri" w:eastAsia="宋体" w:cs="Times New Roman"/>
                <w:kern w:val="2"/>
                <w:sz w:val="21"/>
                <w:szCs w:val="24"/>
                <w:highlight w:val="none"/>
                <w:lang w:val="en-US" w:eastAsia="zh-CN" w:bidi="ar-SA"/>
              </w:rPr>
            </w:pP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lang w:val="en-US" w:eastAsia="zh-CN"/>
              </w:rPr>
              <w:t>中华人民共和国社会保险法</w:t>
            </w:r>
            <w:r>
              <w:rPr>
                <w:rFonts w:hint="eastAsia" w:ascii="仿宋" w:hAnsi="仿宋" w:eastAsia="仿宋" w:cs="仿宋"/>
                <w:color w:val="000000"/>
                <w:kern w:val="0"/>
                <w:sz w:val="24"/>
                <w:szCs w:val="24"/>
                <w:highlight w:val="none"/>
                <w:lang w:eastAsia="zh-CN"/>
              </w:rPr>
              <w:t>》第七十七条、</w:t>
            </w:r>
            <w:r>
              <w:rPr>
                <w:rFonts w:hint="eastAsia" w:ascii="仿宋" w:hAnsi="仿宋" w:eastAsia="仿宋" w:cs="仿宋"/>
                <w:color w:val="000000"/>
                <w:kern w:val="0"/>
                <w:sz w:val="24"/>
                <w:szCs w:val="24"/>
                <w:highlight w:val="none"/>
                <w:lang w:val="en-US" w:eastAsia="zh-CN"/>
              </w:rPr>
              <w:t>第七十九条；《医疗保障基金使用监督管理条例》第二十七条、第二十八条等</w:t>
            </w:r>
            <w:r>
              <w:rPr>
                <w:rFonts w:hint="eastAsia" w:ascii="仿宋" w:hAnsi="仿宋" w:eastAsia="仿宋" w:cs="仿宋"/>
                <w:color w:val="000000"/>
                <w:sz w:val="24"/>
                <w:szCs w:val="24"/>
                <w:highlight w:val="none"/>
              </w:rPr>
              <w:t>相应的法律、法规、规章</w:t>
            </w:r>
            <w:r>
              <w:rPr>
                <w:rFonts w:hint="eastAsia" w:ascii="仿宋" w:hAnsi="仿宋" w:eastAsia="仿宋" w:cs="仿宋"/>
                <w:color w:val="000000"/>
                <w:sz w:val="24"/>
                <w:szCs w:val="24"/>
                <w:highlight w:val="none"/>
                <w:lang w:eastAsia="zh-CN"/>
              </w:rPr>
              <w:t>。</w:t>
            </w:r>
          </w:p>
        </w:tc>
        <w:tc>
          <w:tcPr>
            <w:tcW w:w="1752" w:type="dxa"/>
            <w:tcBorders>
              <w:tl2br w:val="nil"/>
              <w:tr2bl w:val="nil"/>
            </w:tcBorders>
            <w:noWrap/>
            <w:vAlign w:val="center"/>
          </w:tcPr>
          <w:p w14:paraId="6C70E01F">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第一季度2家</w:t>
            </w:r>
          </w:p>
          <w:p w14:paraId="7DC9EB0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第二季度2家</w:t>
            </w:r>
          </w:p>
          <w:p w14:paraId="113AA85A">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第三季度2家</w:t>
            </w:r>
          </w:p>
          <w:p w14:paraId="0FBC29A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第四季度2家</w:t>
            </w:r>
          </w:p>
        </w:tc>
        <w:tc>
          <w:tcPr>
            <w:tcW w:w="1307" w:type="dxa"/>
            <w:tcBorders>
              <w:tl2br w:val="nil"/>
              <w:tr2bl w:val="nil"/>
            </w:tcBorders>
            <w:noWrap/>
            <w:vAlign w:val="center"/>
          </w:tcPr>
          <w:p w14:paraId="594EAE34">
            <w:pPr>
              <w:keepNext w:val="0"/>
              <w:keepLines w:val="0"/>
              <w:pageBreakBefore w:val="0"/>
              <w:widowControl/>
              <w:kinsoku/>
              <w:wordWrap/>
              <w:overflowPunct/>
              <w:topLinePunct w:val="0"/>
              <w:autoSpaceDE/>
              <w:autoSpaceDN/>
              <w:bidi w:val="0"/>
              <w:adjustRightInd/>
              <w:spacing w:line="340" w:lineRule="exact"/>
              <w:jc w:val="both"/>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现场检查</w:t>
            </w:r>
          </w:p>
        </w:tc>
        <w:tc>
          <w:tcPr>
            <w:tcW w:w="1472" w:type="dxa"/>
            <w:tcBorders>
              <w:tl2br w:val="nil"/>
              <w:tr2bl w:val="nil"/>
            </w:tcBorders>
            <w:noWrap/>
            <w:vAlign w:val="center"/>
          </w:tcPr>
          <w:p w14:paraId="3EAA231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4C5D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266FEBB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20</w:t>
            </w:r>
          </w:p>
        </w:tc>
        <w:tc>
          <w:tcPr>
            <w:tcW w:w="1356" w:type="dxa"/>
            <w:tcBorders>
              <w:tl2br w:val="nil"/>
              <w:tr2bl w:val="nil"/>
            </w:tcBorders>
            <w:noWrap/>
            <w:vAlign w:val="center"/>
          </w:tcPr>
          <w:p w14:paraId="1F5F327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彰武县住房和城乡建设局</w:t>
            </w:r>
          </w:p>
        </w:tc>
        <w:tc>
          <w:tcPr>
            <w:tcW w:w="2136" w:type="dxa"/>
            <w:tcBorders>
              <w:tl2br w:val="nil"/>
              <w:tr2bl w:val="nil"/>
            </w:tcBorders>
            <w:noWrap/>
            <w:vAlign w:val="center"/>
          </w:tcPr>
          <w:p w14:paraId="54EB702D">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彰武县行政区域内所有在建房屋建筑和市政基础设施工程建设项目，按照不超过20%的比例随机抽取1家。</w:t>
            </w:r>
          </w:p>
        </w:tc>
        <w:tc>
          <w:tcPr>
            <w:tcW w:w="2544" w:type="dxa"/>
            <w:tcBorders>
              <w:tl2br w:val="nil"/>
              <w:tr2bl w:val="nil"/>
            </w:tcBorders>
            <w:noWrap/>
            <w:vAlign w:val="center"/>
          </w:tcPr>
          <w:p w14:paraId="66F1D35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各类市场主体是否违反建设工程质量、建设工程安全生产管理、建设工程招标投标</w:t>
            </w:r>
            <w:r>
              <w:rPr>
                <w:rFonts w:hint="eastAsia" w:ascii="仿宋" w:hAnsi="仿宋" w:eastAsia="仿宋" w:cs="仿宋"/>
                <w:color w:val="000000"/>
                <w:kern w:val="0"/>
                <w:sz w:val="24"/>
                <w:szCs w:val="24"/>
                <w:highlight w:val="none"/>
                <w:lang w:eastAsia="zh-CN"/>
              </w:rPr>
              <w:t>法等</w:t>
            </w:r>
            <w:r>
              <w:rPr>
                <w:rFonts w:hint="eastAsia" w:ascii="仿宋" w:hAnsi="仿宋" w:eastAsia="仿宋" w:cs="仿宋"/>
                <w:color w:val="000000"/>
                <w:kern w:val="0"/>
                <w:sz w:val="24"/>
                <w:szCs w:val="24"/>
                <w:highlight w:val="none"/>
              </w:rPr>
              <w:t>相关法律、法规、规章等。</w:t>
            </w:r>
          </w:p>
        </w:tc>
        <w:tc>
          <w:tcPr>
            <w:tcW w:w="3168" w:type="dxa"/>
            <w:tcBorders>
              <w:tl2br w:val="nil"/>
              <w:tr2bl w:val="nil"/>
            </w:tcBorders>
            <w:noWrap/>
            <w:vAlign w:val="center"/>
          </w:tcPr>
          <w:p w14:paraId="504C5304">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《建设工程质量管理条例》第四十三条、第四十七条、第四十八条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《建设工程安全生产管理条例》第四十三条、第四十四条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《中华人民共和国招标投标法》第七条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《中华人民共和国招标投标法实施条例》第四条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《房屋建筑和市政基础设施工程施工招标投标管理办法》第六条等相应的法律、法规、规章。</w:t>
            </w:r>
          </w:p>
        </w:tc>
        <w:tc>
          <w:tcPr>
            <w:tcW w:w="1752" w:type="dxa"/>
            <w:tcBorders>
              <w:tl2br w:val="nil"/>
              <w:tr2bl w:val="nil"/>
            </w:tcBorders>
            <w:noWrap/>
            <w:vAlign w:val="center"/>
          </w:tcPr>
          <w:p w14:paraId="2869332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第三季度1家</w:t>
            </w:r>
          </w:p>
        </w:tc>
        <w:tc>
          <w:tcPr>
            <w:tcW w:w="1307" w:type="dxa"/>
            <w:tcBorders>
              <w:tl2br w:val="nil"/>
              <w:tr2bl w:val="nil"/>
            </w:tcBorders>
            <w:noWrap/>
            <w:vAlign w:val="center"/>
          </w:tcPr>
          <w:p w14:paraId="356DC64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现场调阅审查或查验</w:t>
            </w:r>
          </w:p>
        </w:tc>
        <w:tc>
          <w:tcPr>
            <w:tcW w:w="1472" w:type="dxa"/>
            <w:tcBorders>
              <w:tl2br w:val="nil"/>
              <w:tr2bl w:val="nil"/>
            </w:tcBorders>
            <w:noWrap/>
            <w:vAlign w:val="center"/>
          </w:tcPr>
          <w:p w14:paraId="2A057238">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0CD1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17B10A0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21</w:t>
            </w:r>
          </w:p>
        </w:tc>
        <w:tc>
          <w:tcPr>
            <w:tcW w:w="1356" w:type="dxa"/>
            <w:tcBorders>
              <w:tl2br w:val="nil"/>
              <w:tr2bl w:val="nil"/>
            </w:tcBorders>
            <w:noWrap/>
            <w:vAlign w:val="center"/>
          </w:tcPr>
          <w:p w14:paraId="521F0AA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彰武县自然资源局</w:t>
            </w:r>
          </w:p>
        </w:tc>
        <w:tc>
          <w:tcPr>
            <w:tcW w:w="2136" w:type="dxa"/>
            <w:tcBorders>
              <w:tl2br w:val="nil"/>
              <w:tr2bl w:val="nil"/>
            </w:tcBorders>
            <w:noWrap/>
            <w:vAlign w:val="center"/>
          </w:tcPr>
          <w:p w14:paraId="59BFBD9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彰武县行政区划内采矿许可证有效期内矿山企业（彰武县腾达硅砂有限公司等14家）名录库中，按不超过20%比例抽取2家。</w:t>
            </w:r>
          </w:p>
        </w:tc>
        <w:tc>
          <w:tcPr>
            <w:tcW w:w="2544" w:type="dxa"/>
            <w:tcBorders>
              <w:tl2br w:val="nil"/>
              <w:tr2bl w:val="nil"/>
            </w:tcBorders>
            <w:noWrap/>
            <w:vAlign w:val="center"/>
          </w:tcPr>
          <w:p w14:paraId="2DA870A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土地监督检查</w:t>
            </w:r>
          </w:p>
        </w:tc>
        <w:tc>
          <w:tcPr>
            <w:tcW w:w="3168" w:type="dxa"/>
            <w:tcBorders>
              <w:tl2br w:val="nil"/>
              <w:tr2bl w:val="nil"/>
            </w:tcBorders>
            <w:noWrap/>
            <w:vAlign w:val="center"/>
          </w:tcPr>
          <w:p w14:paraId="4E38C11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《中华人民共和国土地管理法》第六十七条、第六十八条</w:t>
            </w:r>
            <w:r>
              <w:rPr>
                <w:rFonts w:hint="eastAsia" w:ascii="仿宋" w:hAnsi="仿宋" w:eastAsia="仿宋" w:cs="仿宋"/>
                <w:color w:val="000000"/>
                <w:kern w:val="0"/>
                <w:sz w:val="24"/>
                <w:szCs w:val="24"/>
                <w:highlight w:val="none"/>
              </w:rPr>
              <w:t>等相应的法律、法规、规章等。</w:t>
            </w:r>
          </w:p>
        </w:tc>
        <w:tc>
          <w:tcPr>
            <w:tcW w:w="1752" w:type="dxa"/>
            <w:tcBorders>
              <w:tl2br w:val="nil"/>
              <w:tr2bl w:val="nil"/>
            </w:tcBorders>
            <w:noWrap/>
            <w:vAlign w:val="center"/>
          </w:tcPr>
          <w:p w14:paraId="64F9BA3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4月份2家</w:t>
            </w:r>
          </w:p>
        </w:tc>
        <w:tc>
          <w:tcPr>
            <w:tcW w:w="1307" w:type="dxa"/>
            <w:tcBorders>
              <w:tl2br w:val="nil"/>
              <w:tr2bl w:val="nil"/>
            </w:tcBorders>
            <w:noWrap/>
            <w:vAlign w:val="center"/>
          </w:tcPr>
          <w:p w14:paraId="3F966F0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现场实地检查</w:t>
            </w:r>
          </w:p>
        </w:tc>
        <w:tc>
          <w:tcPr>
            <w:tcW w:w="1472" w:type="dxa"/>
            <w:tcBorders>
              <w:tl2br w:val="nil"/>
              <w:tr2bl w:val="nil"/>
            </w:tcBorders>
            <w:noWrap/>
            <w:vAlign w:val="center"/>
          </w:tcPr>
          <w:p w14:paraId="7050073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bl>
    <w:p w14:paraId="3BAB8AFF">
      <w:pPr>
        <w:pStyle w:val="2"/>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_GB2312" w:hAnsi="仿宋_GB2312" w:eastAsia="仿宋_GB2312" w:cs="仿宋_GB2312"/>
          <w:sz w:val="34"/>
          <w:szCs w:val="34"/>
          <w:lang w:val="en-US" w:eastAsia="zh-CN"/>
        </w:rPr>
      </w:pPr>
    </w:p>
    <w:sectPr>
      <w:footerReference r:id="rId3" w:type="default"/>
      <w:pgSz w:w="16838" w:h="11906" w:orient="landscape"/>
      <w:pgMar w:top="1531" w:right="2098" w:bottom="1531" w:left="1984" w:header="851" w:footer="1587"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6C3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62243">
                          <w:pPr>
                            <w:pStyle w:val="5"/>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462243">
                    <w:pPr>
                      <w:pStyle w:val="5"/>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Yzk2ODE4NzgwMTQ4ODIwNWRhNThjZjY4NGRkMzcifQ=="/>
  </w:docVars>
  <w:rsids>
    <w:rsidRoot w:val="00000000"/>
    <w:rsid w:val="043524FC"/>
    <w:rsid w:val="0FD30332"/>
    <w:rsid w:val="16463E22"/>
    <w:rsid w:val="16603F07"/>
    <w:rsid w:val="16D20A39"/>
    <w:rsid w:val="170D64B1"/>
    <w:rsid w:val="1D375943"/>
    <w:rsid w:val="1F9A4416"/>
    <w:rsid w:val="20751766"/>
    <w:rsid w:val="233A4A2F"/>
    <w:rsid w:val="2384710C"/>
    <w:rsid w:val="2548511A"/>
    <w:rsid w:val="27E92EE8"/>
    <w:rsid w:val="282F4538"/>
    <w:rsid w:val="3014090E"/>
    <w:rsid w:val="3A254B75"/>
    <w:rsid w:val="3A255015"/>
    <w:rsid w:val="3B130F84"/>
    <w:rsid w:val="452F1669"/>
    <w:rsid w:val="4E3AF362"/>
    <w:rsid w:val="4E683340"/>
    <w:rsid w:val="55CB3D55"/>
    <w:rsid w:val="56533491"/>
    <w:rsid w:val="56BE1C6D"/>
    <w:rsid w:val="5CCE090A"/>
    <w:rsid w:val="5D026F16"/>
    <w:rsid w:val="5E975F4A"/>
    <w:rsid w:val="705C7489"/>
    <w:rsid w:val="71973F7C"/>
    <w:rsid w:val="78A71E11"/>
    <w:rsid w:val="97BF1292"/>
    <w:rsid w:val="BFEFE8D8"/>
    <w:rsid w:val="EEBDA3F5"/>
    <w:rsid w:val="FFFE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b/>
      <w:sz w:val="32"/>
      <w:szCs w:val="32"/>
    </w:rPr>
  </w:style>
  <w:style w:type="character" w:default="1" w:styleId="9">
    <w:name w:val="Default Paragraph Font"/>
    <w:link w:val="10"/>
    <w:semiHidden/>
    <w:qFormat/>
    <w:uiPriority w:val="0"/>
    <w:rPr>
      <w:rFonts w:ascii="Verdana" w:hAnsi="Verdana" w:eastAsia="仿宋_GB2312" w:cs="Verdana"/>
      <w:kern w:val="0"/>
      <w:sz w:val="24"/>
      <w:lang w:eastAsia="en-US"/>
    </w:rPr>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next w:val="4"/>
    <w:qFormat/>
    <w:uiPriority w:val="0"/>
    <w:pPr>
      <w:ind w:firstLine="630"/>
    </w:pPr>
  </w:style>
  <w:style w:type="paragraph" w:styleId="4">
    <w:name w:val="header"/>
    <w:basedOn w:val="1"/>
    <w:next w:val="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er"/>
    <w:basedOn w:val="1"/>
    <w:next w:val="1"/>
    <w:qFormat/>
    <w:uiPriority w:val="0"/>
    <w:pPr>
      <w:tabs>
        <w:tab w:val="center" w:pos="4153"/>
        <w:tab w:val="right" w:pos="8306"/>
      </w:tabs>
      <w:snapToGrid w:val="0"/>
      <w:jc w:val="left"/>
    </w:pPr>
    <w:rPr>
      <w:sz w:val="18"/>
    </w:rPr>
  </w:style>
  <w:style w:type="paragraph" w:styleId="6">
    <w:name w:val="toc 1"/>
    <w:basedOn w:val="1"/>
    <w:next w:val="1"/>
    <w:qFormat/>
    <w:uiPriority w:val="0"/>
  </w:style>
  <w:style w:type="paragraph" w:styleId="7">
    <w:name w:val="Title"/>
    <w:basedOn w:val="1"/>
    <w:next w:val="3"/>
    <w:qFormat/>
    <w:uiPriority w:val="0"/>
    <w:pPr>
      <w:spacing w:line="0" w:lineRule="atLeast"/>
      <w:jc w:val="center"/>
    </w:pPr>
    <w:rPr>
      <w:rFonts w:ascii="Arial" w:hAnsi="Arial" w:eastAsia="黑体"/>
      <w:sz w:val="52"/>
    </w:rPr>
  </w:style>
  <w:style w:type="paragraph" w:customStyle="1" w:styleId="10">
    <w:name w:val="Char Char Char Char Char Char Char Char Char Char Char Char Char Char Char Char Char Char Char Char Char Char Char Char Char Char Char Char Char Char Char Char Char"/>
    <w:basedOn w:val="1"/>
    <w:link w:val="9"/>
    <w:qFormat/>
    <w:uiPriority w:val="0"/>
    <w:pPr>
      <w:widowControl/>
      <w:spacing w:after="160" w:afterLines="0" w:line="240" w:lineRule="exact"/>
      <w:jc w:val="left"/>
    </w:pPr>
    <w:rPr>
      <w:rFonts w:ascii="Verdana" w:hAnsi="Verdana" w:eastAsia="仿宋_GB2312" w:cs="Verdana"/>
      <w:kern w:val="0"/>
      <w:sz w:val="24"/>
      <w:lang w:eastAsia="en-US"/>
    </w:rPr>
  </w:style>
  <w:style w:type="character" w:styleId="11">
    <w:name w:val="Strong"/>
    <w:basedOn w:val="9"/>
    <w:qFormat/>
    <w:uiPriority w:val="0"/>
    <w:rPr>
      <w:b/>
      <w:bCs/>
    </w:rPr>
  </w:style>
  <w:style w:type="character" w:styleId="12">
    <w:name w:val="page number"/>
    <w:basedOn w:val="9"/>
    <w:qFormat/>
    <w:uiPriority w:val="0"/>
  </w:style>
  <w:style w:type="paragraph" w:customStyle="1" w:styleId="13">
    <w:name w:val="正文文本1"/>
    <w:basedOn w:val="1"/>
    <w:qFormat/>
    <w:uiPriority w:val="0"/>
    <w:pPr>
      <w:spacing w:before="0" w:beforeAutospacing="0" w:after="140" w:afterAutospacing="0" w:line="276" w:lineRule="auto"/>
    </w:p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正文首行缩进 21"/>
    <w:basedOn w:val="3"/>
    <w:next w:val="1"/>
    <w:qFormat/>
    <w:uiPriority w:val="0"/>
    <w:pPr>
      <w:spacing w:before="100" w:beforeAutospacing="1" w:after="120"/>
      <w:ind w:left="420" w:leftChars="200" w:firstLine="420" w:firstLineChars="200"/>
    </w:pPr>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4992</Words>
  <Characters>5118</Characters>
  <Lines>0</Lines>
  <Paragraphs>0</Paragraphs>
  <TotalTime>54</TotalTime>
  <ScaleCrop>false</ScaleCrop>
  <LinksUpToDate>false</LinksUpToDate>
  <CharactersWithSpaces>5165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2024-01-06T23:44:00Z</dcterms:created>
  <dc:creator>Administrator</dc:creator>
  <cp:lastModifiedBy>Administrator</cp:lastModifiedBy>
  <cp:lastPrinted>2024-01-09T17:25:00Z</cp:lastPrinted>
  <dcterms:modified xsi:type="dcterms:W3CDTF">2026-06-04T08:26:49Z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99192D0B7B694EFCB2725D4D9B772397_13</vt:lpwstr>
  </property>
  <property fmtid="{D5CDD505-2E9C-101B-9397-08002B2CF9AE}" pid="4" name="KSOTemplateDocerSaveRecord">
    <vt:lpwstr>eyJoZGlkIjoiYzQ5Yzk2ODE4NzgwMTQ4ODIwNWRhNThjZjY4NGRkMzciLCJ1c2VySWQiOiI0MzYyMTYxOTkifQ==</vt:lpwstr>
  </property>
</Properties>
</file>