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74813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color w:val="000000"/>
          <w:sz w:val="32"/>
          <w:szCs w:val="32"/>
        </w:rPr>
      </w:pPr>
      <w:r>
        <w:rPr>
          <w:rFonts w:hint="eastAsia" w:ascii="黑体" w:hAnsi="黑体" w:eastAsia="黑体" w:cs="黑体"/>
          <w:color w:val="000000"/>
          <w:sz w:val="34"/>
          <w:szCs w:val="34"/>
        </w:rPr>
        <w:t>彰政办发〔20</w:t>
      </w:r>
      <w:r>
        <w:rPr>
          <w:rFonts w:hint="eastAsia" w:ascii="黑体" w:hAnsi="黑体" w:eastAsia="黑体" w:cs="黑体"/>
          <w:color w:val="000000"/>
          <w:sz w:val="34"/>
          <w:szCs w:val="34"/>
          <w:lang w:val="en-US" w:eastAsia="zh-CN"/>
        </w:rPr>
        <w:t>26</w:t>
      </w:r>
      <w:r>
        <w:rPr>
          <w:rFonts w:hint="eastAsia" w:ascii="黑体" w:hAnsi="黑体" w:eastAsia="黑体" w:cs="黑体"/>
          <w:color w:val="000000"/>
          <w:sz w:val="34"/>
          <w:szCs w:val="34"/>
        </w:rPr>
        <w:t>〕</w:t>
      </w:r>
      <w:r>
        <w:rPr>
          <w:rFonts w:hint="eastAsia" w:ascii="黑体" w:hAnsi="黑体" w:eastAsia="黑体" w:cs="黑体"/>
          <w:color w:val="000000"/>
          <w:sz w:val="34"/>
          <w:szCs w:val="34"/>
          <w:lang w:val="en-US" w:eastAsia="zh-CN"/>
        </w:rPr>
        <w:t>2</w:t>
      </w:r>
      <w:r>
        <w:rPr>
          <w:rFonts w:hint="eastAsia" w:ascii="黑体" w:hAnsi="黑体" w:eastAsia="黑体" w:cs="黑体"/>
          <w:color w:val="000000"/>
          <w:sz w:val="34"/>
          <w:szCs w:val="34"/>
        </w:rPr>
        <w:t>号附件</w:t>
      </w:r>
    </w:p>
    <w:p w14:paraId="47AC0564">
      <w:pPr>
        <w:adjustRightInd w:val="0"/>
        <w:snapToGrid w:val="0"/>
        <w:jc w:val="center"/>
        <w:rPr>
          <w:rFonts w:hint="eastAsia" w:ascii="方正小标宋简体" w:hAnsi="Times New Roman" w:eastAsia="方正小标宋简体" w:cs="Times New Roman"/>
          <w:sz w:val="44"/>
          <w:szCs w:val="44"/>
          <w:highlight w:val="none"/>
        </w:rPr>
      </w:pPr>
      <w:bookmarkStart w:id="0" w:name="_GoBack"/>
      <w:r>
        <w:rPr>
          <w:rFonts w:hint="eastAsia" w:ascii="方正小标宋简体" w:hAnsi="Times New Roman" w:eastAsia="方正小标宋简体" w:cs="Times New Roman"/>
          <w:sz w:val="44"/>
          <w:szCs w:val="44"/>
          <w:highlight w:val="none"/>
        </w:rPr>
        <w:t>彰武县人民政府有关部门2026年度涉企行政检查计划表</w:t>
      </w:r>
    </w:p>
    <w:bookmarkEnd w:id="0"/>
    <w:tbl>
      <w:tblPr>
        <w:tblStyle w:val="8"/>
        <w:tblW w:w="14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356"/>
        <w:gridCol w:w="2136"/>
        <w:gridCol w:w="2544"/>
        <w:gridCol w:w="3168"/>
        <w:gridCol w:w="1752"/>
        <w:gridCol w:w="1307"/>
        <w:gridCol w:w="1472"/>
      </w:tblGrid>
      <w:tr w14:paraId="51A12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67864A55">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黑体" w:hAnsi="黑体" w:eastAsia="黑体" w:cs="黑体"/>
                <w:color w:val="000000"/>
                <w:kern w:val="0"/>
                <w:sz w:val="30"/>
                <w:szCs w:val="30"/>
                <w:highlight w:val="none"/>
              </w:rPr>
            </w:pPr>
            <w:r>
              <w:rPr>
                <w:rFonts w:hint="eastAsia" w:ascii="黑体" w:hAnsi="黑体" w:eastAsia="黑体" w:cs="黑体"/>
                <w:color w:val="000000"/>
                <w:kern w:val="0"/>
                <w:sz w:val="30"/>
                <w:szCs w:val="30"/>
                <w:highlight w:val="none"/>
              </w:rPr>
              <w:t>序号</w:t>
            </w:r>
          </w:p>
        </w:tc>
        <w:tc>
          <w:tcPr>
            <w:tcW w:w="1356" w:type="dxa"/>
            <w:tcBorders>
              <w:tl2br w:val="nil"/>
              <w:tr2bl w:val="nil"/>
            </w:tcBorders>
            <w:noWrap/>
            <w:vAlign w:val="center"/>
          </w:tcPr>
          <w:p w14:paraId="5C536F6A">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黑体" w:hAnsi="黑体" w:eastAsia="黑体" w:cs="黑体"/>
                <w:color w:val="000000"/>
                <w:kern w:val="0"/>
                <w:sz w:val="30"/>
                <w:szCs w:val="30"/>
                <w:highlight w:val="none"/>
              </w:rPr>
            </w:pPr>
            <w:r>
              <w:rPr>
                <w:rFonts w:hint="eastAsia" w:ascii="黑体" w:hAnsi="黑体" w:eastAsia="黑体" w:cs="黑体"/>
                <w:color w:val="000000"/>
                <w:kern w:val="0"/>
                <w:sz w:val="30"/>
                <w:szCs w:val="30"/>
                <w:highlight w:val="none"/>
              </w:rPr>
              <w:t>行政执法机关</w:t>
            </w:r>
          </w:p>
        </w:tc>
        <w:tc>
          <w:tcPr>
            <w:tcW w:w="2136" w:type="dxa"/>
            <w:tcBorders>
              <w:tl2br w:val="nil"/>
              <w:tr2bl w:val="nil"/>
            </w:tcBorders>
            <w:noWrap/>
            <w:vAlign w:val="center"/>
          </w:tcPr>
          <w:p w14:paraId="753E0C47">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黑体" w:hAnsi="黑体" w:eastAsia="黑体" w:cs="黑体"/>
                <w:color w:val="000000"/>
                <w:kern w:val="0"/>
                <w:sz w:val="30"/>
                <w:szCs w:val="30"/>
                <w:highlight w:val="none"/>
              </w:rPr>
            </w:pPr>
            <w:r>
              <w:rPr>
                <w:rFonts w:hint="eastAsia" w:ascii="黑体" w:hAnsi="黑体" w:eastAsia="黑体" w:cs="黑体"/>
                <w:color w:val="000000"/>
                <w:kern w:val="0"/>
                <w:sz w:val="30"/>
                <w:szCs w:val="30"/>
                <w:highlight w:val="none"/>
              </w:rPr>
              <w:t>检查对象</w:t>
            </w:r>
          </w:p>
        </w:tc>
        <w:tc>
          <w:tcPr>
            <w:tcW w:w="2544" w:type="dxa"/>
            <w:tcBorders>
              <w:tl2br w:val="nil"/>
              <w:tr2bl w:val="nil"/>
            </w:tcBorders>
            <w:noWrap/>
            <w:vAlign w:val="center"/>
          </w:tcPr>
          <w:p w14:paraId="74AB9054">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黑体" w:hAnsi="黑体" w:eastAsia="黑体" w:cs="黑体"/>
                <w:color w:val="000000"/>
                <w:kern w:val="0"/>
                <w:sz w:val="30"/>
                <w:szCs w:val="30"/>
                <w:highlight w:val="none"/>
              </w:rPr>
            </w:pPr>
            <w:r>
              <w:rPr>
                <w:rFonts w:hint="eastAsia" w:ascii="黑体" w:hAnsi="黑体" w:eastAsia="黑体" w:cs="黑体"/>
                <w:color w:val="000000"/>
                <w:kern w:val="0"/>
                <w:sz w:val="30"/>
                <w:szCs w:val="30"/>
                <w:highlight w:val="none"/>
              </w:rPr>
              <w:t>检查内容</w:t>
            </w:r>
          </w:p>
        </w:tc>
        <w:tc>
          <w:tcPr>
            <w:tcW w:w="3168" w:type="dxa"/>
            <w:tcBorders>
              <w:tl2br w:val="nil"/>
              <w:tr2bl w:val="nil"/>
            </w:tcBorders>
            <w:noWrap/>
            <w:vAlign w:val="center"/>
          </w:tcPr>
          <w:p w14:paraId="5C7777AD">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黑体" w:hAnsi="黑体" w:eastAsia="黑体" w:cs="黑体"/>
                <w:color w:val="000000"/>
                <w:kern w:val="0"/>
                <w:sz w:val="30"/>
                <w:szCs w:val="30"/>
                <w:highlight w:val="none"/>
              </w:rPr>
            </w:pPr>
            <w:r>
              <w:rPr>
                <w:rFonts w:hint="eastAsia" w:ascii="黑体" w:hAnsi="黑体" w:eastAsia="黑体" w:cs="黑体"/>
                <w:color w:val="000000"/>
                <w:kern w:val="0"/>
                <w:sz w:val="30"/>
                <w:szCs w:val="30"/>
                <w:highlight w:val="none"/>
              </w:rPr>
              <w:t>检查依据</w:t>
            </w:r>
          </w:p>
        </w:tc>
        <w:tc>
          <w:tcPr>
            <w:tcW w:w="1752" w:type="dxa"/>
            <w:tcBorders>
              <w:tl2br w:val="nil"/>
              <w:tr2bl w:val="nil"/>
            </w:tcBorders>
            <w:noWrap/>
            <w:vAlign w:val="center"/>
          </w:tcPr>
          <w:p w14:paraId="3E653C74">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黑体" w:hAnsi="黑体" w:eastAsia="黑体" w:cs="黑体"/>
                <w:color w:val="000000"/>
                <w:kern w:val="0"/>
                <w:sz w:val="30"/>
                <w:szCs w:val="30"/>
                <w:highlight w:val="none"/>
              </w:rPr>
            </w:pPr>
            <w:r>
              <w:rPr>
                <w:rFonts w:hint="eastAsia" w:ascii="黑体" w:hAnsi="黑体" w:eastAsia="黑体" w:cs="黑体"/>
                <w:color w:val="000000"/>
                <w:kern w:val="0"/>
                <w:sz w:val="30"/>
                <w:szCs w:val="30"/>
                <w:highlight w:val="none"/>
              </w:rPr>
              <w:t>检查时间</w:t>
            </w:r>
          </w:p>
        </w:tc>
        <w:tc>
          <w:tcPr>
            <w:tcW w:w="1307" w:type="dxa"/>
            <w:tcBorders>
              <w:tl2br w:val="nil"/>
              <w:tr2bl w:val="nil"/>
            </w:tcBorders>
            <w:noWrap/>
            <w:vAlign w:val="center"/>
          </w:tcPr>
          <w:p w14:paraId="6DB12383">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黑体" w:hAnsi="黑体" w:eastAsia="黑体" w:cs="黑体"/>
                <w:color w:val="000000"/>
                <w:kern w:val="0"/>
                <w:sz w:val="30"/>
                <w:szCs w:val="30"/>
                <w:highlight w:val="none"/>
              </w:rPr>
            </w:pPr>
            <w:r>
              <w:rPr>
                <w:rFonts w:hint="eastAsia" w:ascii="黑体" w:hAnsi="黑体" w:eastAsia="黑体" w:cs="黑体"/>
                <w:color w:val="000000"/>
                <w:kern w:val="0"/>
                <w:sz w:val="30"/>
                <w:szCs w:val="30"/>
                <w:highlight w:val="none"/>
              </w:rPr>
              <w:t>检查方式</w:t>
            </w:r>
          </w:p>
        </w:tc>
        <w:tc>
          <w:tcPr>
            <w:tcW w:w="1472" w:type="dxa"/>
            <w:tcBorders>
              <w:tl2br w:val="nil"/>
              <w:tr2bl w:val="nil"/>
            </w:tcBorders>
            <w:noWrap/>
            <w:vAlign w:val="center"/>
          </w:tcPr>
          <w:p w14:paraId="2924891E">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黑体" w:hAnsi="黑体" w:eastAsia="黑体" w:cs="黑体"/>
                <w:color w:val="000000"/>
                <w:kern w:val="0"/>
                <w:sz w:val="30"/>
                <w:szCs w:val="30"/>
                <w:highlight w:val="none"/>
                <w:lang w:eastAsia="zh-CN"/>
              </w:rPr>
            </w:pPr>
            <w:r>
              <w:rPr>
                <w:rFonts w:hint="eastAsia" w:ascii="黑体" w:hAnsi="黑体" w:eastAsia="黑体" w:cs="黑体"/>
                <w:color w:val="000000"/>
                <w:kern w:val="0"/>
                <w:sz w:val="30"/>
                <w:szCs w:val="30"/>
                <w:highlight w:val="none"/>
                <w:lang w:eastAsia="zh-CN"/>
              </w:rPr>
              <w:t>是否联合</w:t>
            </w:r>
          </w:p>
          <w:p w14:paraId="0FDDD509">
            <w:pPr>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黑体" w:hAnsi="黑体" w:eastAsia="黑体" w:cs="黑体"/>
                <w:color w:val="000000"/>
                <w:kern w:val="0"/>
                <w:sz w:val="30"/>
                <w:szCs w:val="30"/>
                <w:highlight w:val="none"/>
                <w:lang w:eastAsia="zh-CN"/>
              </w:rPr>
            </w:pPr>
            <w:r>
              <w:rPr>
                <w:rFonts w:hint="eastAsia" w:ascii="黑体" w:hAnsi="黑体" w:eastAsia="黑体" w:cs="黑体"/>
                <w:color w:val="000000"/>
                <w:kern w:val="0"/>
                <w:sz w:val="30"/>
                <w:szCs w:val="30"/>
                <w:highlight w:val="none"/>
                <w:lang w:eastAsia="zh-CN"/>
              </w:rPr>
              <w:t>联合部门</w:t>
            </w:r>
          </w:p>
        </w:tc>
      </w:tr>
      <w:tr w14:paraId="4343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75F228AC">
            <w:pPr>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仿宋" w:hAnsi="仿宋" w:eastAsia="仿宋" w:cs="仿宋"/>
                <w:kern w:val="2"/>
                <w:sz w:val="24"/>
                <w:szCs w:val="24"/>
                <w:highlight w:val="none"/>
                <w:vertAlign w:val="baseline"/>
                <w:lang w:val="en-US" w:eastAsia="zh-CN" w:bidi="ar-SA"/>
              </w:rPr>
            </w:pPr>
            <w:r>
              <w:rPr>
                <w:rFonts w:hint="eastAsia" w:ascii="仿宋" w:hAnsi="仿宋" w:eastAsia="仿宋" w:cs="仿宋"/>
                <w:sz w:val="24"/>
                <w:szCs w:val="24"/>
                <w:highlight w:val="none"/>
                <w:vertAlign w:val="baseline"/>
                <w:lang w:val="en-US" w:eastAsia="zh-CN"/>
              </w:rPr>
              <w:t>1</w:t>
            </w:r>
          </w:p>
        </w:tc>
        <w:tc>
          <w:tcPr>
            <w:tcW w:w="1356" w:type="dxa"/>
            <w:tcBorders>
              <w:tl2br w:val="nil"/>
              <w:tr2bl w:val="nil"/>
            </w:tcBorders>
            <w:noWrap/>
            <w:vAlign w:val="center"/>
          </w:tcPr>
          <w:p w14:paraId="2ED8C16E">
            <w:pPr>
              <w:keepNext w:val="0"/>
              <w:keepLines w:val="0"/>
              <w:pageBreakBefore w:val="0"/>
              <w:kinsoku/>
              <w:wordWrap/>
              <w:overflowPunct/>
              <w:topLinePunct w:val="0"/>
              <w:autoSpaceDE/>
              <w:autoSpaceDN/>
              <w:bidi w:val="0"/>
              <w:adjustRightInd/>
              <w:snapToGrid/>
              <w:spacing w:line="340" w:lineRule="exact"/>
              <w:jc w:val="both"/>
              <w:textAlignment w:val="auto"/>
              <w:rPr>
                <w:rFonts w:hint="eastAsia" w:ascii="仿宋" w:hAnsi="仿宋" w:eastAsia="仿宋" w:cs="仿宋"/>
                <w:kern w:val="2"/>
                <w:sz w:val="24"/>
                <w:szCs w:val="24"/>
                <w:highlight w:val="none"/>
                <w:vertAlign w:val="baseline"/>
                <w:lang w:val="en-US" w:eastAsia="zh-CN" w:bidi="ar-SA"/>
              </w:rPr>
            </w:pPr>
            <w:r>
              <w:rPr>
                <w:rFonts w:hint="eastAsia" w:ascii="仿宋" w:hAnsi="仿宋" w:eastAsia="仿宋" w:cs="仿宋"/>
                <w:color w:val="000000"/>
                <w:kern w:val="0"/>
                <w:sz w:val="24"/>
                <w:szCs w:val="24"/>
                <w:highlight w:val="none"/>
              </w:rPr>
              <w:t>彰武县发展和改革局</w:t>
            </w:r>
          </w:p>
        </w:tc>
        <w:tc>
          <w:tcPr>
            <w:tcW w:w="2136" w:type="dxa"/>
            <w:tcBorders>
              <w:tl2br w:val="nil"/>
              <w:tr2bl w:val="nil"/>
            </w:tcBorders>
            <w:noWrap/>
            <w:vAlign w:val="center"/>
          </w:tcPr>
          <w:p w14:paraId="25E596E0">
            <w:pPr>
              <w:keepNext w:val="0"/>
              <w:keepLines w:val="0"/>
              <w:pageBreakBefore w:val="0"/>
              <w:kinsoku/>
              <w:wordWrap/>
              <w:overflowPunct/>
              <w:topLinePunct w:val="0"/>
              <w:autoSpaceDE/>
              <w:autoSpaceDN/>
              <w:bidi w:val="0"/>
              <w:adjustRightInd/>
              <w:snapToGrid/>
              <w:spacing w:line="340" w:lineRule="exact"/>
              <w:jc w:val="both"/>
              <w:textAlignment w:val="auto"/>
              <w:rPr>
                <w:rFonts w:hint="eastAsia" w:ascii="仿宋" w:hAnsi="仿宋" w:eastAsia="仿宋" w:cs="仿宋"/>
                <w:kern w:val="2"/>
                <w:sz w:val="24"/>
                <w:szCs w:val="24"/>
                <w:highlight w:val="none"/>
                <w:vertAlign w:val="baseline"/>
                <w:lang w:val="en-US" w:eastAsia="zh-CN" w:bidi="ar-SA"/>
              </w:rPr>
            </w:pPr>
            <w:r>
              <w:rPr>
                <w:rFonts w:hint="eastAsia" w:ascii="仿宋" w:hAnsi="仿宋" w:eastAsia="仿宋" w:cs="仿宋"/>
                <w:color w:val="000000"/>
                <w:kern w:val="0"/>
                <w:sz w:val="24"/>
                <w:szCs w:val="24"/>
                <w:highlight w:val="none"/>
              </w:rPr>
              <w:t>彰武县行政区划内的粮食经营者市场主体</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彰武县城郊粮食储备有限公司等45家</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名录库中</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县发展和改革局按照不超过20</w:t>
            </w:r>
            <w:r>
              <w:rPr>
                <w:rFonts w:hint="eastAsia" w:ascii="仿宋" w:hAnsi="仿宋" w:eastAsia="仿宋" w:cs="仿宋"/>
                <w:color w:val="000000"/>
                <w:kern w:val="0"/>
                <w:sz w:val="24"/>
                <w:szCs w:val="24"/>
                <w:highlight w:val="none"/>
                <w:lang w:eastAsia="zh-CN"/>
              </w:rPr>
              <w:t>％的</w:t>
            </w:r>
            <w:r>
              <w:rPr>
                <w:rFonts w:hint="eastAsia" w:ascii="仿宋" w:hAnsi="仿宋" w:eastAsia="仿宋" w:cs="仿宋"/>
                <w:color w:val="000000"/>
                <w:kern w:val="0"/>
                <w:sz w:val="24"/>
                <w:szCs w:val="24"/>
                <w:highlight w:val="none"/>
              </w:rPr>
              <w:t>比例抽取6家。</w:t>
            </w:r>
          </w:p>
        </w:tc>
        <w:tc>
          <w:tcPr>
            <w:tcW w:w="2544" w:type="dxa"/>
            <w:tcBorders>
              <w:tl2br w:val="nil"/>
              <w:tr2bl w:val="nil"/>
            </w:tcBorders>
            <w:noWrap/>
            <w:vAlign w:val="center"/>
          </w:tcPr>
          <w:p w14:paraId="4238C43E">
            <w:pPr>
              <w:keepNext w:val="0"/>
              <w:keepLines w:val="0"/>
              <w:pageBreakBefore w:val="0"/>
              <w:kinsoku/>
              <w:wordWrap/>
              <w:overflowPunct/>
              <w:topLinePunct w:val="0"/>
              <w:autoSpaceDE/>
              <w:autoSpaceDN/>
              <w:bidi w:val="0"/>
              <w:adjustRightInd/>
              <w:snapToGrid/>
              <w:spacing w:line="340" w:lineRule="exact"/>
              <w:jc w:val="both"/>
              <w:textAlignment w:val="auto"/>
              <w:rPr>
                <w:rFonts w:hint="eastAsia" w:ascii="仿宋" w:hAnsi="仿宋" w:eastAsia="仿宋" w:cs="仿宋"/>
                <w:kern w:val="2"/>
                <w:sz w:val="24"/>
                <w:szCs w:val="24"/>
                <w:highlight w:val="none"/>
                <w:vertAlign w:val="baseline"/>
                <w:lang w:val="en-US" w:eastAsia="zh-CN" w:bidi="ar-SA"/>
              </w:rPr>
            </w:pPr>
            <w:r>
              <w:rPr>
                <w:rFonts w:hint="eastAsia" w:ascii="仿宋" w:hAnsi="仿宋" w:eastAsia="仿宋" w:cs="仿宋"/>
                <w:color w:val="000000"/>
                <w:kern w:val="0"/>
                <w:sz w:val="24"/>
                <w:szCs w:val="24"/>
                <w:highlight w:val="none"/>
              </w:rPr>
              <w:t>市场主体是否违反《粮食流通管理条例》《粮油安全储存守则》《粮库安全生产守则》</w:t>
            </w:r>
            <w:r>
              <w:rPr>
                <w:rFonts w:hint="eastAsia" w:ascii="仿宋" w:hAnsi="仿宋" w:eastAsia="仿宋" w:cs="仿宋"/>
                <w:color w:val="000000"/>
                <w:kern w:val="0"/>
                <w:sz w:val="24"/>
                <w:szCs w:val="24"/>
                <w:highlight w:val="none"/>
                <w:lang w:eastAsia="zh-CN"/>
              </w:rPr>
              <w:t>。</w:t>
            </w:r>
          </w:p>
        </w:tc>
        <w:tc>
          <w:tcPr>
            <w:tcW w:w="3168" w:type="dxa"/>
            <w:tcBorders>
              <w:tl2br w:val="nil"/>
              <w:tr2bl w:val="nil"/>
            </w:tcBorders>
            <w:noWrap/>
            <w:vAlign w:val="center"/>
          </w:tcPr>
          <w:p w14:paraId="05119E93">
            <w:pPr>
              <w:keepNext w:val="0"/>
              <w:keepLines w:val="0"/>
              <w:pageBreakBefore w:val="0"/>
              <w:kinsoku/>
              <w:wordWrap/>
              <w:overflowPunct/>
              <w:topLinePunct w:val="0"/>
              <w:autoSpaceDE/>
              <w:autoSpaceDN/>
              <w:bidi w:val="0"/>
              <w:adjustRightInd/>
              <w:snapToGrid/>
              <w:spacing w:line="340" w:lineRule="exact"/>
              <w:jc w:val="both"/>
              <w:textAlignment w:val="auto"/>
              <w:rPr>
                <w:rFonts w:hint="eastAsia" w:ascii="仿宋" w:hAnsi="仿宋" w:eastAsia="仿宋" w:cs="仿宋"/>
                <w:kern w:val="2"/>
                <w:sz w:val="24"/>
                <w:szCs w:val="24"/>
                <w:highlight w:val="none"/>
                <w:vertAlign w:val="baseline"/>
                <w:lang w:val="en-US" w:eastAsia="zh-CN" w:bidi="ar-SA"/>
              </w:rPr>
            </w:pPr>
            <w:r>
              <w:rPr>
                <w:rFonts w:hint="eastAsia" w:ascii="仿宋" w:hAnsi="仿宋" w:eastAsia="仿宋" w:cs="仿宋"/>
                <w:color w:val="000000"/>
                <w:kern w:val="0"/>
                <w:sz w:val="24"/>
                <w:szCs w:val="24"/>
                <w:highlight w:val="none"/>
              </w:rPr>
              <w:t>《粮食流通管理条例》第三十</w:t>
            </w:r>
            <w:r>
              <w:rPr>
                <w:rFonts w:hint="eastAsia" w:ascii="仿宋" w:hAnsi="仿宋" w:eastAsia="仿宋" w:cs="仿宋"/>
                <w:color w:val="000000"/>
                <w:kern w:val="0"/>
                <w:sz w:val="24"/>
                <w:szCs w:val="24"/>
                <w:highlight w:val="none"/>
                <w:lang w:eastAsia="zh-CN"/>
              </w:rPr>
              <w:t>八</w:t>
            </w:r>
            <w:r>
              <w:rPr>
                <w:rFonts w:hint="eastAsia" w:ascii="仿宋" w:hAnsi="仿宋" w:eastAsia="仿宋" w:cs="仿宋"/>
                <w:color w:val="000000"/>
                <w:kern w:val="0"/>
                <w:sz w:val="24"/>
                <w:szCs w:val="24"/>
                <w:highlight w:val="none"/>
              </w:rPr>
              <w:t>条</w:t>
            </w:r>
            <w:r>
              <w:rPr>
                <w:rFonts w:hint="eastAsia" w:ascii="仿宋" w:hAnsi="仿宋" w:eastAsia="仿宋" w:cs="仿宋"/>
                <w:color w:val="000000"/>
                <w:kern w:val="0"/>
                <w:sz w:val="24"/>
                <w:szCs w:val="24"/>
                <w:highlight w:val="none"/>
                <w:lang w:val="en-US" w:eastAsia="zh-CN"/>
              </w:rPr>
              <w:t>等相应的法律、法规、规章</w:t>
            </w:r>
            <w:r>
              <w:rPr>
                <w:rFonts w:hint="eastAsia" w:ascii="仿宋" w:hAnsi="仿宋" w:eastAsia="仿宋" w:cs="仿宋"/>
                <w:color w:val="000000"/>
                <w:kern w:val="0"/>
                <w:sz w:val="24"/>
                <w:szCs w:val="24"/>
                <w:highlight w:val="none"/>
                <w:lang w:eastAsia="zh-CN"/>
              </w:rPr>
              <w:t>。</w:t>
            </w:r>
          </w:p>
        </w:tc>
        <w:tc>
          <w:tcPr>
            <w:tcW w:w="1752" w:type="dxa"/>
            <w:tcBorders>
              <w:tl2br w:val="nil"/>
              <w:tr2bl w:val="nil"/>
            </w:tcBorders>
            <w:noWrap/>
            <w:vAlign w:val="center"/>
          </w:tcPr>
          <w:p w14:paraId="02DC54C1">
            <w:pPr>
              <w:keepNext w:val="0"/>
              <w:keepLines w:val="0"/>
              <w:pageBreakBefore w:val="0"/>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第一季度</w:t>
            </w:r>
            <w:r>
              <w:rPr>
                <w:rFonts w:hint="eastAsia" w:ascii="仿宋" w:hAnsi="仿宋" w:eastAsia="仿宋" w:cs="仿宋"/>
                <w:color w:val="000000"/>
                <w:kern w:val="0"/>
                <w:sz w:val="24"/>
                <w:szCs w:val="24"/>
                <w:highlight w:val="none"/>
                <w:lang w:val="en-US" w:eastAsia="zh-CN"/>
              </w:rPr>
              <w:t>2</w:t>
            </w:r>
            <w:r>
              <w:rPr>
                <w:rFonts w:hint="eastAsia" w:ascii="仿宋" w:hAnsi="仿宋" w:eastAsia="仿宋" w:cs="仿宋"/>
                <w:color w:val="000000"/>
                <w:kern w:val="0"/>
                <w:sz w:val="24"/>
                <w:szCs w:val="24"/>
                <w:highlight w:val="none"/>
              </w:rPr>
              <w:t>家</w:t>
            </w:r>
          </w:p>
          <w:p w14:paraId="1A1701CF">
            <w:pPr>
              <w:keepNext w:val="0"/>
              <w:keepLines w:val="0"/>
              <w:pageBreakBefore w:val="0"/>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第二季度</w:t>
            </w:r>
            <w:r>
              <w:rPr>
                <w:rFonts w:hint="eastAsia" w:ascii="仿宋" w:hAnsi="仿宋" w:eastAsia="仿宋" w:cs="仿宋"/>
                <w:color w:val="000000"/>
                <w:kern w:val="0"/>
                <w:sz w:val="24"/>
                <w:szCs w:val="24"/>
                <w:highlight w:val="none"/>
                <w:lang w:val="en-US" w:eastAsia="zh-CN"/>
              </w:rPr>
              <w:t>1</w:t>
            </w:r>
            <w:r>
              <w:rPr>
                <w:rFonts w:hint="eastAsia" w:ascii="仿宋" w:hAnsi="仿宋" w:eastAsia="仿宋" w:cs="仿宋"/>
                <w:color w:val="000000"/>
                <w:kern w:val="0"/>
                <w:sz w:val="24"/>
                <w:szCs w:val="24"/>
                <w:highlight w:val="none"/>
              </w:rPr>
              <w:t>家</w:t>
            </w:r>
          </w:p>
          <w:p w14:paraId="56DE3EC4">
            <w:pPr>
              <w:keepNext w:val="0"/>
              <w:keepLines w:val="0"/>
              <w:pageBreakBefore w:val="0"/>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第三季度1家</w:t>
            </w:r>
          </w:p>
          <w:p w14:paraId="2A548878">
            <w:pPr>
              <w:keepNext w:val="0"/>
              <w:keepLines w:val="0"/>
              <w:pageBreakBefore w:val="0"/>
              <w:kinsoku/>
              <w:wordWrap/>
              <w:overflowPunct/>
              <w:topLinePunct w:val="0"/>
              <w:autoSpaceDE/>
              <w:autoSpaceDN/>
              <w:bidi w:val="0"/>
              <w:adjustRightInd/>
              <w:snapToGrid/>
              <w:spacing w:line="340" w:lineRule="exact"/>
              <w:jc w:val="both"/>
              <w:textAlignment w:val="auto"/>
              <w:rPr>
                <w:rFonts w:hint="eastAsia" w:ascii="仿宋" w:hAnsi="仿宋" w:eastAsia="仿宋" w:cs="仿宋"/>
                <w:kern w:val="2"/>
                <w:sz w:val="24"/>
                <w:szCs w:val="24"/>
                <w:highlight w:val="none"/>
                <w:vertAlign w:val="baseline"/>
                <w:lang w:val="en-US" w:eastAsia="zh-CN" w:bidi="ar-SA"/>
              </w:rPr>
            </w:pPr>
            <w:r>
              <w:rPr>
                <w:rFonts w:hint="eastAsia" w:ascii="仿宋" w:hAnsi="仿宋" w:eastAsia="仿宋" w:cs="仿宋"/>
                <w:color w:val="000000"/>
                <w:kern w:val="0"/>
                <w:sz w:val="24"/>
                <w:szCs w:val="24"/>
                <w:highlight w:val="none"/>
              </w:rPr>
              <w:t>第四季度2家</w:t>
            </w:r>
          </w:p>
        </w:tc>
        <w:tc>
          <w:tcPr>
            <w:tcW w:w="1307" w:type="dxa"/>
            <w:tcBorders>
              <w:tl2br w:val="nil"/>
              <w:tr2bl w:val="nil"/>
            </w:tcBorders>
            <w:noWrap/>
            <w:vAlign w:val="center"/>
          </w:tcPr>
          <w:p w14:paraId="25C0B4C1">
            <w:pPr>
              <w:keepNext w:val="0"/>
              <w:keepLines w:val="0"/>
              <w:pageBreakBefore w:val="0"/>
              <w:kinsoku/>
              <w:wordWrap/>
              <w:overflowPunct/>
              <w:topLinePunct w:val="0"/>
              <w:autoSpaceDE/>
              <w:autoSpaceDN/>
              <w:bidi w:val="0"/>
              <w:adjustRightInd/>
              <w:snapToGrid/>
              <w:spacing w:line="340" w:lineRule="exact"/>
              <w:jc w:val="both"/>
              <w:textAlignment w:val="auto"/>
              <w:rPr>
                <w:rFonts w:hint="eastAsia" w:ascii="仿宋" w:hAnsi="仿宋" w:eastAsia="仿宋" w:cs="仿宋"/>
                <w:kern w:val="2"/>
                <w:sz w:val="24"/>
                <w:szCs w:val="24"/>
                <w:highlight w:val="none"/>
                <w:vertAlign w:val="baseline"/>
                <w:lang w:val="en-US" w:eastAsia="zh-CN" w:bidi="ar-SA"/>
              </w:rPr>
            </w:pPr>
            <w:r>
              <w:rPr>
                <w:rFonts w:hint="eastAsia" w:ascii="仿宋" w:hAnsi="仿宋" w:eastAsia="仿宋" w:cs="仿宋"/>
                <w:sz w:val="24"/>
                <w:szCs w:val="24"/>
                <w:highlight w:val="none"/>
                <w:vertAlign w:val="baseline"/>
                <w:lang w:eastAsia="zh-CN"/>
              </w:rPr>
              <w:t>现场调阅审查</w:t>
            </w:r>
          </w:p>
        </w:tc>
        <w:tc>
          <w:tcPr>
            <w:tcW w:w="1472" w:type="dxa"/>
            <w:tcBorders>
              <w:tl2br w:val="nil"/>
              <w:tr2bl w:val="nil"/>
            </w:tcBorders>
            <w:noWrap/>
            <w:vAlign w:val="center"/>
          </w:tcPr>
          <w:p w14:paraId="1CEE6A0C">
            <w:pPr>
              <w:keepNext w:val="0"/>
              <w:keepLines w:val="0"/>
              <w:pageBreakBefore w:val="0"/>
              <w:kinsoku/>
              <w:wordWrap/>
              <w:overflowPunct/>
              <w:topLinePunct w:val="0"/>
              <w:autoSpaceDE/>
              <w:autoSpaceDN/>
              <w:bidi w:val="0"/>
              <w:adjustRightInd/>
              <w:snapToGrid/>
              <w:spacing w:line="340" w:lineRule="exact"/>
              <w:jc w:val="both"/>
              <w:textAlignment w:val="auto"/>
              <w:rPr>
                <w:rFonts w:hint="default" w:ascii="仿宋" w:hAnsi="仿宋" w:eastAsia="仿宋" w:cs="仿宋"/>
                <w:kern w:val="2"/>
                <w:sz w:val="24"/>
                <w:szCs w:val="24"/>
                <w:highlight w:val="none"/>
                <w:vertAlign w:val="baseline"/>
                <w:lang w:val="en-US" w:eastAsia="zh-CN" w:bidi="ar-SA"/>
              </w:rPr>
            </w:pPr>
            <w:r>
              <w:rPr>
                <w:rFonts w:hint="eastAsia" w:ascii="仿宋" w:hAnsi="仿宋" w:eastAsia="仿宋" w:cs="仿宋"/>
                <w:kern w:val="2"/>
                <w:sz w:val="24"/>
                <w:szCs w:val="24"/>
                <w:highlight w:val="none"/>
                <w:vertAlign w:val="baseline"/>
                <w:lang w:val="en-US" w:eastAsia="zh-CN" w:bidi="ar-SA"/>
              </w:rPr>
              <w:t>彰武县市场监督管理局</w:t>
            </w:r>
          </w:p>
        </w:tc>
      </w:tr>
      <w:tr w14:paraId="23E21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07CA6E06">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w:t>
            </w:r>
          </w:p>
        </w:tc>
        <w:tc>
          <w:tcPr>
            <w:tcW w:w="1356" w:type="dxa"/>
            <w:tcBorders>
              <w:tl2br w:val="nil"/>
              <w:tr2bl w:val="nil"/>
            </w:tcBorders>
            <w:noWrap/>
            <w:vAlign w:val="center"/>
          </w:tcPr>
          <w:p w14:paraId="3F45ACD4">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彰武县交通运输局</w:t>
            </w:r>
          </w:p>
        </w:tc>
        <w:tc>
          <w:tcPr>
            <w:tcW w:w="2136" w:type="dxa"/>
            <w:tcBorders>
              <w:tl2br w:val="nil"/>
              <w:tr2bl w:val="nil"/>
            </w:tcBorders>
            <w:noWrap/>
            <w:vAlign w:val="center"/>
          </w:tcPr>
          <w:p w14:paraId="0602A535">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彰武县行政区划内道路运输经营主体（彰武县站前交通出租车有限公司等</w:t>
            </w:r>
            <w:r>
              <w:rPr>
                <w:rFonts w:hint="eastAsia" w:ascii="仿宋" w:hAnsi="仿宋" w:eastAsia="仿宋" w:cs="仿宋"/>
                <w:color w:val="auto"/>
                <w:kern w:val="0"/>
                <w:sz w:val="24"/>
                <w:szCs w:val="24"/>
                <w:highlight w:val="none"/>
                <w:lang w:val="en-US" w:eastAsia="zh-CN"/>
              </w:rPr>
              <w:t>50</w:t>
            </w:r>
            <w:r>
              <w:rPr>
                <w:rFonts w:hint="eastAsia" w:ascii="仿宋" w:hAnsi="仿宋" w:eastAsia="仿宋" w:cs="仿宋"/>
                <w:color w:val="auto"/>
                <w:kern w:val="0"/>
                <w:sz w:val="24"/>
                <w:szCs w:val="24"/>
                <w:highlight w:val="none"/>
              </w:rPr>
              <w:t>家</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名录库中</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县交通运输局</w:t>
            </w:r>
            <w:r>
              <w:rPr>
                <w:rFonts w:hint="eastAsia" w:ascii="仿宋" w:hAnsi="仿宋" w:eastAsia="仿宋" w:cs="仿宋"/>
                <w:color w:val="auto"/>
                <w:kern w:val="0"/>
                <w:sz w:val="24"/>
                <w:szCs w:val="24"/>
                <w:highlight w:val="none"/>
                <w:lang w:val="en-US" w:eastAsia="zh-CN"/>
              </w:rPr>
              <w:t>按照</w:t>
            </w:r>
            <w:r>
              <w:rPr>
                <w:rFonts w:hint="eastAsia" w:ascii="仿宋" w:hAnsi="仿宋" w:eastAsia="仿宋" w:cs="仿宋"/>
                <w:color w:val="auto"/>
                <w:kern w:val="0"/>
                <w:sz w:val="24"/>
                <w:szCs w:val="24"/>
                <w:highlight w:val="none"/>
              </w:rPr>
              <w:t>不超过20%比例抽取</w:t>
            </w:r>
            <w:r>
              <w:rPr>
                <w:rFonts w:hint="eastAsia" w:ascii="仿宋" w:hAnsi="仿宋" w:eastAsia="仿宋" w:cs="仿宋"/>
                <w:color w:val="auto"/>
                <w:kern w:val="0"/>
                <w:sz w:val="24"/>
                <w:szCs w:val="24"/>
                <w:highlight w:val="none"/>
                <w:lang w:val="en-US" w:eastAsia="zh-CN"/>
              </w:rPr>
              <w:t>7家</w:t>
            </w:r>
            <w:r>
              <w:rPr>
                <w:rFonts w:hint="eastAsia" w:ascii="仿宋" w:hAnsi="仿宋" w:eastAsia="仿宋" w:cs="仿宋"/>
                <w:color w:val="auto"/>
                <w:kern w:val="0"/>
                <w:sz w:val="24"/>
                <w:szCs w:val="24"/>
                <w:highlight w:val="none"/>
                <w:lang w:eastAsia="zh-CN"/>
              </w:rPr>
              <w:t>。</w:t>
            </w:r>
          </w:p>
        </w:tc>
        <w:tc>
          <w:tcPr>
            <w:tcW w:w="2544" w:type="dxa"/>
            <w:tcBorders>
              <w:tl2br w:val="nil"/>
              <w:tr2bl w:val="nil"/>
            </w:tcBorders>
            <w:noWrap/>
            <w:vAlign w:val="center"/>
          </w:tcPr>
          <w:p w14:paraId="15C7E8BF">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各类市场主体是否违反道路运输、出租汽车经营服务法律、法规、规章等</w:t>
            </w:r>
            <w:r>
              <w:rPr>
                <w:rFonts w:hint="eastAsia" w:ascii="仿宋" w:hAnsi="仿宋" w:eastAsia="仿宋" w:cs="仿宋"/>
                <w:color w:val="auto"/>
                <w:kern w:val="0"/>
                <w:sz w:val="24"/>
                <w:szCs w:val="24"/>
                <w:highlight w:val="none"/>
                <w:lang w:eastAsia="zh-CN"/>
              </w:rPr>
              <w:t>。</w:t>
            </w:r>
          </w:p>
        </w:tc>
        <w:tc>
          <w:tcPr>
            <w:tcW w:w="3168" w:type="dxa"/>
            <w:tcBorders>
              <w:tl2br w:val="nil"/>
              <w:tr2bl w:val="nil"/>
            </w:tcBorders>
            <w:noWrap/>
            <w:vAlign w:val="center"/>
          </w:tcPr>
          <w:p w14:paraId="15C3FEC0">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《中华人民共和国道路运输条例》第五十三条</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《出租汽车经营服务管理规定》第四十二条</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《道路货物运输及站场管理规定》第四十九条等</w:t>
            </w:r>
            <w:r>
              <w:rPr>
                <w:rFonts w:hint="eastAsia" w:ascii="仿宋" w:hAnsi="仿宋" w:eastAsia="仿宋" w:cs="仿宋"/>
                <w:color w:val="auto"/>
                <w:kern w:val="0"/>
                <w:sz w:val="24"/>
                <w:szCs w:val="24"/>
                <w:highlight w:val="none"/>
                <w:lang w:val="en-US" w:eastAsia="zh-CN"/>
              </w:rPr>
              <w:t>相应的法律、法规、规章</w:t>
            </w:r>
            <w:r>
              <w:rPr>
                <w:rFonts w:hint="eastAsia" w:ascii="仿宋" w:hAnsi="仿宋" w:eastAsia="仿宋" w:cs="仿宋"/>
                <w:color w:val="auto"/>
                <w:kern w:val="0"/>
                <w:sz w:val="24"/>
                <w:szCs w:val="24"/>
                <w:highlight w:val="none"/>
                <w:lang w:eastAsia="zh-CN"/>
              </w:rPr>
              <w:t>。</w:t>
            </w:r>
          </w:p>
        </w:tc>
        <w:tc>
          <w:tcPr>
            <w:tcW w:w="1752" w:type="dxa"/>
            <w:tcBorders>
              <w:tl2br w:val="nil"/>
              <w:tr2bl w:val="nil"/>
            </w:tcBorders>
            <w:noWrap/>
            <w:vAlign w:val="center"/>
          </w:tcPr>
          <w:p w14:paraId="0FB6317E">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第一季度</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家</w:t>
            </w:r>
          </w:p>
          <w:p w14:paraId="0E25BA46">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第二季度</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家</w:t>
            </w:r>
          </w:p>
          <w:p w14:paraId="1CB03EC5">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第三季度</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家</w:t>
            </w:r>
          </w:p>
          <w:p w14:paraId="50FE94B6">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第四季度</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家</w:t>
            </w:r>
          </w:p>
        </w:tc>
        <w:tc>
          <w:tcPr>
            <w:tcW w:w="1307" w:type="dxa"/>
            <w:tcBorders>
              <w:tl2br w:val="nil"/>
              <w:tr2bl w:val="nil"/>
            </w:tcBorders>
            <w:noWrap/>
            <w:vAlign w:val="center"/>
          </w:tcPr>
          <w:p w14:paraId="5EC2AE30">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现场</w:t>
            </w:r>
            <w:r>
              <w:rPr>
                <w:rFonts w:hint="eastAsia" w:ascii="仿宋" w:hAnsi="仿宋" w:eastAsia="仿宋" w:cs="仿宋"/>
                <w:color w:val="auto"/>
                <w:kern w:val="0"/>
                <w:sz w:val="24"/>
                <w:szCs w:val="24"/>
                <w:highlight w:val="none"/>
                <w:lang w:val="en-US" w:eastAsia="zh-CN"/>
              </w:rPr>
              <w:t>检查</w:t>
            </w:r>
          </w:p>
        </w:tc>
        <w:tc>
          <w:tcPr>
            <w:tcW w:w="1472" w:type="dxa"/>
            <w:tcBorders>
              <w:tl2br w:val="nil"/>
              <w:tr2bl w:val="nil"/>
            </w:tcBorders>
            <w:noWrap/>
            <w:vAlign w:val="center"/>
          </w:tcPr>
          <w:p w14:paraId="75E2B735">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rPr>
            </w:pPr>
          </w:p>
        </w:tc>
      </w:tr>
      <w:tr w14:paraId="2AC79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34915E7D">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w:t>
            </w:r>
          </w:p>
        </w:tc>
        <w:tc>
          <w:tcPr>
            <w:tcW w:w="1356" w:type="dxa"/>
            <w:tcBorders>
              <w:tl2br w:val="nil"/>
              <w:tr2bl w:val="nil"/>
            </w:tcBorders>
            <w:shd w:val="clear" w:color="auto" w:fill="auto"/>
            <w:noWrap/>
            <w:vAlign w:val="center"/>
          </w:tcPr>
          <w:p w14:paraId="525F6DFF">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彰武县交通运输局</w:t>
            </w:r>
          </w:p>
        </w:tc>
        <w:tc>
          <w:tcPr>
            <w:tcW w:w="2136" w:type="dxa"/>
            <w:tcBorders>
              <w:tl2br w:val="nil"/>
              <w:tr2bl w:val="nil"/>
            </w:tcBorders>
            <w:shd w:val="clear" w:color="auto" w:fill="auto"/>
            <w:noWrap/>
            <w:vAlign w:val="center"/>
          </w:tcPr>
          <w:p w14:paraId="2E525AB6">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彰武县行政区划内道路运输经营主体（彰武新兴危险品运输车队</w:t>
            </w:r>
            <w:r>
              <w:rPr>
                <w:rFonts w:hint="eastAsia" w:ascii="仿宋" w:hAnsi="仿宋" w:eastAsia="仿宋" w:cs="仿宋"/>
                <w:color w:val="auto"/>
                <w:kern w:val="0"/>
                <w:sz w:val="24"/>
                <w:szCs w:val="24"/>
                <w:highlight w:val="none"/>
                <w:lang w:eastAsia="zh-CN"/>
              </w:rPr>
              <w:t>等</w:t>
            </w:r>
            <w:r>
              <w:rPr>
                <w:rFonts w:hint="eastAsia" w:ascii="仿宋" w:hAnsi="仿宋" w:eastAsia="仿宋" w:cs="仿宋"/>
                <w:color w:val="auto"/>
                <w:kern w:val="0"/>
                <w:sz w:val="24"/>
                <w:szCs w:val="24"/>
                <w:highlight w:val="none"/>
              </w:rPr>
              <w:t>50家）名录库中，县交通运输局按照不超过20%比例抽取</w:t>
            </w:r>
            <w:r>
              <w:rPr>
                <w:rFonts w:hint="eastAsia" w:ascii="仿宋" w:hAnsi="仿宋" w:eastAsia="仿宋" w:cs="仿宋"/>
                <w:color w:val="auto"/>
                <w:kern w:val="0"/>
                <w:sz w:val="24"/>
                <w:szCs w:val="24"/>
                <w:highlight w:val="none"/>
                <w:lang w:val="en-US" w:eastAsia="zh-CN"/>
              </w:rPr>
              <w:t>3家</w:t>
            </w:r>
            <w:r>
              <w:rPr>
                <w:rFonts w:hint="eastAsia" w:ascii="仿宋" w:hAnsi="仿宋" w:eastAsia="仿宋" w:cs="仿宋"/>
                <w:color w:val="auto"/>
                <w:kern w:val="0"/>
                <w:sz w:val="24"/>
                <w:szCs w:val="24"/>
                <w:highlight w:val="none"/>
                <w:lang w:eastAsia="zh-CN"/>
              </w:rPr>
              <w:t>。</w:t>
            </w:r>
          </w:p>
        </w:tc>
        <w:tc>
          <w:tcPr>
            <w:tcW w:w="2544" w:type="dxa"/>
            <w:tcBorders>
              <w:tl2br w:val="nil"/>
              <w:tr2bl w:val="nil"/>
            </w:tcBorders>
            <w:shd w:val="clear" w:color="auto" w:fill="auto"/>
            <w:noWrap/>
            <w:vAlign w:val="center"/>
          </w:tcPr>
          <w:p w14:paraId="2CE90577">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各类市场主体是否违反道路运输法律、法规、规章等</w:t>
            </w:r>
            <w:r>
              <w:rPr>
                <w:rFonts w:hint="eastAsia" w:ascii="仿宋" w:hAnsi="仿宋" w:eastAsia="仿宋" w:cs="仿宋"/>
                <w:color w:val="auto"/>
                <w:kern w:val="0"/>
                <w:sz w:val="24"/>
                <w:szCs w:val="24"/>
                <w:highlight w:val="none"/>
                <w:lang w:eastAsia="zh-CN"/>
              </w:rPr>
              <w:t>。</w:t>
            </w:r>
          </w:p>
        </w:tc>
        <w:tc>
          <w:tcPr>
            <w:tcW w:w="3168" w:type="dxa"/>
            <w:tcBorders>
              <w:tl2br w:val="nil"/>
              <w:tr2bl w:val="nil"/>
            </w:tcBorders>
            <w:shd w:val="clear" w:color="auto" w:fill="auto"/>
            <w:noWrap/>
            <w:vAlign w:val="center"/>
          </w:tcPr>
          <w:p w14:paraId="7D6D31D1">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《中华人民共和国道路运输条例》</w:t>
            </w:r>
            <w:r>
              <w:rPr>
                <w:rFonts w:hint="eastAsia" w:ascii="仿宋" w:hAnsi="仿宋" w:eastAsia="仿宋" w:cs="仿宋"/>
                <w:color w:val="auto"/>
                <w:kern w:val="0"/>
                <w:sz w:val="24"/>
                <w:szCs w:val="24"/>
                <w:highlight w:val="none"/>
                <w:lang w:eastAsia="zh-CN"/>
              </w:rPr>
              <w:t>第</w:t>
            </w:r>
            <w:r>
              <w:rPr>
                <w:rFonts w:hint="eastAsia" w:ascii="仿宋" w:hAnsi="仿宋" w:eastAsia="仿宋" w:cs="仿宋"/>
                <w:color w:val="auto"/>
                <w:kern w:val="0"/>
                <w:sz w:val="24"/>
                <w:szCs w:val="24"/>
                <w:highlight w:val="none"/>
                <w:lang w:val="en-US" w:eastAsia="zh-CN"/>
              </w:rPr>
              <w:t>五十三条、</w:t>
            </w:r>
            <w:r>
              <w:rPr>
                <w:rFonts w:hint="eastAsia" w:ascii="仿宋" w:hAnsi="仿宋" w:eastAsia="仿宋" w:cs="仿宋"/>
                <w:color w:val="auto"/>
                <w:kern w:val="0"/>
                <w:sz w:val="24"/>
                <w:szCs w:val="24"/>
                <w:highlight w:val="none"/>
              </w:rPr>
              <w:t>《道路危险货物运输管理规定》</w:t>
            </w:r>
            <w:r>
              <w:rPr>
                <w:rFonts w:hint="eastAsia" w:ascii="仿宋" w:hAnsi="仿宋" w:eastAsia="仿宋" w:cs="仿宋"/>
                <w:color w:val="auto"/>
                <w:kern w:val="0"/>
                <w:sz w:val="24"/>
                <w:szCs w:val="24"/>
                <w:highlight w:val="none"/>
                <w:lang w:eastAsia="zh-CN"/>
              </w:rPr>
              <w:t>第</w:t>
            </w:r>
            <w:r>
              <w:rPr>
                <w:rFonts w:hint="eastAsia" w:ascii="仿宋" w:hAnsi="仿宋" w:eastAsia="仿宋" w:cs="仿宋"/>
                <w:color w:val="auto"/>
                <w:kern w:val="0"/>
                <w:sz w:val="24"/>
                <w:szCs w:val="24"/>
                <w:highlight w:val="none"/>
                <w:lang w:val="en-US" w:eastAsia="zh-CN"/>
              </w:rPr>
              <w:t>五十一条等相应的法律、法规、规章</w:t>
            </w:r>
            <w:r>
              <w:rPr>
                <w:rFonts w:hint="eastAsia" w:ascii="仿宋" w:hAnsi="仿宋" w:eastAsia="仿宋" w:cs="仿宋"/>
                <w:color w:val="auto"/>
                <w:kern w:val="0"/>
                <w:sz w:val="24"/>
                <w:szCs w:val="24"/>
                <w:highlight w:val="none"/>
                <w:lang w:eastAsia="zh-CN"/>
              </w:rPr>
              <w:t>。</w:t>
            </w:r>
          </w:p>
        </w:tc>
        <w:tc>
          <w:tcPr>
            <w:tcW w:w="1752" w:type="dxa"/>
            <w:tcBorders>
              <w:tl2br w:val="nil"/>
              <w:tr2bl w:val="nil"/>
            </w:tcBorders>
            <w:shd w:val="clear" w:color="auto" w:fill="auto"/>
            <w:noWrap/>
            <w:vAlign w:val="center"/>
          </w:tcPr>
          <w:p w14:paraId="03D7CF00">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eastAsia="zh-CN"/>
              </w:rPr>
              <w:t>第一季度</w:t>
            </w:r>
            <w:r>
              <w:rPr>
                <w:rFonts w:hint="eastAsia" w:ascii="仿宋" w:hAnsi="仿宋" w:eastAsia="仿宋" w:cs="仿宋"/>
                <w:color w:val="auto"/>
                <w:kern w:val="0"/>
                <w:sz w:val="24"/>
                <w:szCs w:val="24"/>
                <w:highlight w:val="none"/>
                <w:lang w:val="en-US" w:eastAsia="zh-CN"/>
              </w:rPr>
              <w:t>1家</w:t>
            </w:r>
          </w:p>
          <w:p w14:paraId="0C4C3FC2">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第二季度1家</w:t>
            </w:r>
          </w:p>
          <w:p w14:paraId="0BA12A54">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第三季度1家</w:t>
            </w:r>
          </w:p>
        </w:tc>
        <w:tc>
          <w:tcPr>
            <w:tcW w:w="1307" w:type="dxa"/>
            <w:tcBorders>
              <w:tl2br w:val="nil"/>
              <w:tr2bl w:val="nil"/>
            </w:tcBorders>
            <w:shd w:val="clear" w:color="auto" w:fill="auto"/>
            <w:noWrap/>
            <w:vAlign w:val="center"/>
          </w:tcPr>
          <w:p w14:paraId="7DA39607">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现场检查</w:t>
            </w:r>
          </w:p>
        </w:tc>
        <w:tc>
          <w:tcPr>
            <w:tcW w:w="1472" w:type="dxa"/>
            <w:tcBorders>
              <w:tl2br w:val="nil"/>
              <w:tr2bl w:val="nil"/>
            </w:tcBorders>
            <w:shd w:val="clear" w:color="auto" w:fill="auto"/>
            <w:noWrap/>
            <w:vAlign w:val="center"/>
          </w:tcPr>
          <w:p w14:paraId="1A0EFE33">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w:t>
            </w:r>
            <w:r>
              <w:rPr>
                <w:rFonts w:hint="eastAsia" w:ascii="仿宋" w:hAnsi="仿宋" w:eastAsia="仿宋" w:cs="仿宋"/>
                <w:color w:val="auto"/>
                <w:kern w:val="0"/>
                <w:sz w:val="24"/>
                <w:szCs w:val="24"/>
                <w:highlight w:val="none"/>
                <w:lang w:eastAsia="zh-CN"/>
              </w:rPr>
              <w:t>市场</w:t>
            </w:r>
            <w:r>
              <w:rPr>
                <w:rFonts w:hint="eastAsia" w:ascii="仿宋" w:hAnsi="仿宋" w:eastAsia="仿宋" w:cs="仿宋"/>
                <w:color w:val="auto"/>
                <w:kern w:val="0"/>
                <w:sz w:val="24"/>
                <w:szCs w:val="24"/>
                <w:highlight w:val="none"/>
                <w:lang w:val="en-US" w:eastAsia="zh-CN"/>
              </w:rPr>
              <w:t>监督管理局</w:t>
            </w:r>
          </w:p>
        </w:tc>
      </w:tr>
      <w:tr w14:paraId="7358A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65" w:hRule="atLeast"/>
          <w:jc w:val="center"/>
        </w:trPr>
        <w:tc>
          <w:tcPr>
            <w:tcW w:w="718" w:type="dxa"/>
            <w:tcBorders>
              <w:tl2br w:val="nil"/>
              <w:tr2bl w:val="nil"/>
            </w:tcBorders>
            <w:shd w:val="clear" w:color="auto" w:fill="auto"/>
            <w:noWrap/>
            <w:vAlign w:val="center"/>
          </w:tcPr>
          <w:p w14:paraId="3FD5162B">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w:t>
            </w:r>
          </w:p>
        </w:tc>
        <w:tc>
          <w:tcPr>
            <w:tcW w:w="1356" w:type="dxa"/>
            <w:tcBorders>
              <w:tl2br w:val="nil"/>
              <w:tr2bl w:val="nil"/>
            </w:tcBorders>
            <w:shd w:val="clear" w:color="auto" w:fill="auto"/>
            <w:vAlign w:val="center"/>
          </w:tcPr>
          <w:p w14:paraId="3B5953A6">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彰武县农业农村局</w:t>
            </w:r>
          </w:p>
        </w:tc>
        <w:tc>
          <w:tcPr>
            <w:tcW w:w="2136" w:type="dxa"/>
            <w:tcBorders>
              <w:tl2br w:val="nil"/>
              <w:tr2bl w:val="nil"/>
            </w:tcBorders>
            <w:shd w:val="clear" w:color="auto" w:fill="auto"/>
            <w:vAlign w:val="center"/>
          </w:tcPr>
          <w:p w14:paraId="182876EC">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彰武县行政区划内畜禽屠宰、运输市场主体彰武县双赢生猪定点屠宰有限公司等15家市场主体名录库中，按不超过20%比例随机抽取3家。</w:t>
            </w:r>
          </w:p>
        </w:tc>
        <w:tc>
          <w:tcPr>
            <w:tcW w:w="2544" w:type="dxa"/>
            <w:tcBorders>
              <w:tl2br w:val="nil"/>
              <w:tr2bl w:val="nil"/>
            </w:tcBorders>
            <w:shd w:val="clear" w:color="auto" w:fill="auto"/>
            <w:vAlign w:val="center"/>
          </w:tcPr>
          <w:p w14:paraId="6B58100C">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动物防疫条件、制度、检疫、无害化处理、安全生产等。</w:t>
            </w:r>
          </w:p>
        </w:tc>
        <w:tc>
          <w:tcPr>
            <w:tcW w:w="3168" w:type="dxa"/>
            <w:tcBorders>
              <w:tl2br w:val="nil"/>
              <w:tr2bl w:val="nil"/>
            </w:tcBorders>
            <w:shd w:val="clear" w:color="auto" w:fill="auto"/>
            <w:vAlign w:val="center"/>
          </w:tcPr>
          <w:p w14:paraId="2D28B2C2">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《中华人民共和国动物防疫法》第七十四条等相应的法律、法规、规章。　</w:t>
            </w:r>
          </w:p>
        </w:tc>
        <w:tc>
          <w:tcPr>
            <w:tcW w:w="1752" w:type="dxa"/>
            <w:tcBorders>
              <w:tl2br w:val="nil"/>
              <w:tr2bl w:val="nil"/>
            </w:tcBorders>
            <w:shd w:val="clear" w:color="auto" w:fill="auto"/>
            <w:vAlign w:val="center"/>
          </w:tcPr>
          <w:p w14:paraId="27B3A4C1">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第二季度1家第三季度1家第四季度1家</w:t>
            </w:r>
          </w:p>
        </w:tc>
        <w:tc>
          <w:tcPr>
            <w:tcW w:w="1307" w:type="dxa"/>
            <w:tcBorders>
              <w:tl2br w:val="nil"/>
              <w:tr2bl w:val="nil"/>
            </w:tcBorders>
            <w:shd w:val="clear" w:color="auto" w:fill="auto"/>
            <w:vAlign w:val="center"/>
          </w:tcPr>
          <w:p w14:paraId="675E8828">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现场检查</w:t>
            </w:r>
          </w:p>
        </w:tc>
        <w:tc>
          <w:tcPr>
            <w:tcW w:w="1472" w:type="dxa"/>
            <w:tcBorders>
              <w:tl2br w:val="nil"/>
              <w:tr2bl w:val="nil"/>
            </w:tcBorders>
            <w:shd w:val="clear" w:color="auto" w:fill="auto"/>
            <w:vAlign w:val="center"/>
          </w:tcPr>
          <w:p w14:paraId="364F252D">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p>
        </w:tc>
      </w:tr>
      <w:tr w14:paraId="2980F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65" w:hRule="atLeast"/>
          <w:jc w:val="center"/>
        </w:trPr>
        <w:tc>
          <w:tcPr>
            <w:tcW w:w="718" w:type="dxa"/>
            <w:tcBorders>
              <w:tl2br w:val="nil"/>
              <w:tr2bl w:val="nil"/>
            </w:tcBorders>
            <w:shd w:val="clear" w:color="auto" w:fill="auto"/>
            <w:noWrap/>
            <w:vAlign w:val="center"/>
          </w:tcPr>
          <w:p w14:paraId="2EAAB57E">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w:t>
            </w:r>
          </w:p>
        </w:tc>
        <w:tc>
          <w:tcPr>
            <w:tcW w:w="1356" w:type="dxa"/>
            <w:tcBorders>
              <w:tl2br w:val="nil"/>
              <w:tr2bl w:val="nil"/>
            </w:tcBorders>
            <w:shd w:val="clear" w:color="auto" w:fill="auto"/>
            <w:vAlign w:val="center"/>
          </w:tcPr>
          <w:p w14:paraId="23E5FD23">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彰武县农业农村局</w:t>
            </w:r>
          </w:p>
        </w:tc>
        <w:tc>
          <w:tcPr>
            <w:tcW w:w="2136" w:type="dxa"/>
            <w:tcBorders>
              <w:tl2br w:val="nil"/>
              <w:tr2bl w:val="nil"/>
            </w:tcBorders>
            <w:shd w:val="clear" w:color="auto" w:fill="auto"/>
            <w:vAlign w:val="center"/>
          </w:tcPr>
          <w:p w14:paraId="3B257D5D">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彰武县行政区划内饲料生产、经营市场主体彰武优品农牧饲料有限公司等88家市场主体名录库中，按不超过20%随机抽取12家。</w:t>
            </w:r>
          </w:p>
        </w:tc>
        <w:tc>
          <w:tcPr>
            <w:tcW w:w="2544" w:type="dxa"/>
            <w:tcBorders>
              <w:tl2br w:val="nil"/>
              <w:tr2bl w:val="nil"/>
            </w:tcBorders>
            <w:shd w:val="clear" w:color="auto" w:fill="auto"/>
            <w:vAlign w:val="center"/>
          </w:tcPr>
          <w:p w14:paraId="61A67042">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饲料生产是否存在违反《饲料和饲料添加剂管理条例》情况、安全生产等。</w:t>
            </w:r>
          </w:p>
        </w:tc>
        <w:tc>
          <w:tcPr>
            <w:tcW w:w="3168" w:type="dxa"/>
            <w:tcBorders>
              <w:tl2br w:val="nil"/>
              <w:tr2bl w:val="nil"/>
            </w:tcBorders>
            <w:shd w:val="clear" w:color="auto" w:fill="auto"/>
            <w:vAlign w:val="center"/>
          </w:tcPr>
          <w:p w14:paraId="7DBDAB37">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《饲料和饲料添加剂管理条例》第三条等相应的法律、法规、规章。</w:t>
            </w:r>
          </w:p>
        </w:tc>
        <w:tc>
          <w:tcPr>
            <w:tcW w:w="1752" w:type="dxa"/>
            <w:tcBorders>
              <w:tl2br w:val="nil"/>
              <w:tr2bl w:val="nil"/>
            </w:tcBorders>
            <w:shd w:val="clear" w:color="auto" w:fill="auto"/>
            <w:vAlign w:val="center"/>
          </w:tcPr>
          <w:p w14:paraId="3DC5ACD0">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第一季度3家第二季度3家第三季度3家第四季度3家</w:t>
            </w:r>
          </w:p>
        </w:tc>
        <w:tc>
          <w:tcPr>
            <w:tcW w:w="1307" w:type="dxa"/>
            <w:tcBorders>
              <w:tl2br w:val="nil"/>
              <w:tr2bl w:val="nil"/>
            </w:tcBorders>
            <w:shd w:val="clear" w:color="auto" w:fill="auto"/>
            <w:vAlign w:val="center"/>
          </w:tcPr>
          <w:p w14:paraId="34220DFE">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现场检查</w:t>
            </w:r>
          </w:p>
        </w:tc>
        <w:tc>
          <w:tcPr>
            <w:tcW w:w="1472" w:type="dxa"/>
            <w:tcBorders>
              <w:tl2br w:val="nil"/>
              <w:tr2bl w:val="nil"/>
            </w:tcBorders>
            <w:shd w:val="clear" w:color="auto" w:fill="auto"/>
            <w:vAlign w:val="center"/>
          </w:tcPr>
          <w:p w14:paraId="4549B130">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彰武县市场监督管理局</w:t>
            </w:r>
          </w:p>
        </w:tc>
      </w:tr>
      <w:tr w14:paraId="7BFAB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80" w:hRule="atLeast"/>
          <w:jc w:val="center"/>
        </w:trPr>
        <w:tc>
          <w:tcPr>
            <w:tcW w:w="718" w:type="dxa"/>
            <w:tcBorders>
              <w:tl2br w:val="nil"/>
              <w:tr2bl w:val="nil"/>
            </w:tcBorders>
            <w:shd w:val="clear" w:color="auto" w:fill="auto"/>
            <w:noWrap/>
            <w:vAlign w:val="center"/>
          </w:tcPr>
          <w:p w14:paraId="2FB1BC3C">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6</w:t>
            </w:r>
          </w:p>
        </w:tc>
        <w:tc>
          <w:tcPr>
            <w:tcW w:w="1356" w:type="dxa"/>
            <w:tcBorders>
              <w:tl2br w:val="nil"/>
              <w:tr2bl w:val="nil"/>
            </w:tcBorders>
            <w:shd w:val="clear" w:color="auto" w:fill="auto"/>
            <w:vAlign w:val="center"/>
          </w:tcPr>
          <w:p w14:paraId="705E3BBD">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彰武县农业农村局</w:t>
            </w:r>
          </w:p>
        </w:tc>
        <w:tc>
          <w:tcPr>
            <w:tcW w:w="2136" w:type="dxa"/>
            <w:tcBorders>
              <w:tl2br w:val="nil"/>
              <w:tr2bl w:val="nil"/>
            </w:tcBorders>
            <w:shd w:val="clear" w:color="auto" w:fill="auto"/>
            <w:vAlign w:val="center"/>
          </w:tcPr>
          <w:p w14:paraId="46A750DC">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彰武县行政区划内兽药经营市场主体彰武县二道河子乡立强兽药店等132家市场主体名录库中，按不超过20%随机抽取19家。</w:t>
            </w:r>
          </w:p>
        </w:tc>
        <w:tc>
          <w:tcPr>
            <w:tcW w:w="2544" w:type="dxa"/>
            <w:tcBorders>
              <w:tl2br w:val="nil"/>
              <w:tr2bl w:val="nil"/>
            </w:tcBorders>
            <w:shd w:val="clear" w:color="auto" w:fill="auto"/>
            <w:vAlign w:val="center"/>
          </w:tcPr>
          <w:p w14:paraId="3028367F">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兽药三证、二维码录入，台账，药品摆放，是否经营假劣兽药、安全生产等。</w:t>
            </w:r>
          </w:p>
        </w:tc>
        <w:tc>
          <w:tcPr>
            <w:tcW w:w="3168" w:type="dxa"/>
            <w:tcBorders>
              <w:tl2br w:val="nil"/>
              <w:tr2bl w:val="nil"/>
            </w:tcBorders>
            <w:shd w:val="clear" w:color="auto" w:fill="auto"/>
            <w:vAlign w:val="center"/>
          </w:tcPr>
          <w:p w14:paraId="1FCBBD94">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《兽药管理条例》第三条等相应的法律、法规、规章。</w:t>
            </w:r>
          </w:p>
        </w:tc>
        <w:tc>
          <w:tcPr>
            <w:tcW w:w="1752" w:type="dxa"/>
            <w:tcBorders>
              <w:tl2br w:val="nil"/>
              <w:tr2bl w:val="nil"/>
            </w:tcBorders>
            <w:shd w:val="clear" w:color="auto" w:fill="auto"/>
            <w:vAlign w:val="center"/>
          </w:tcPr>
          <w:p w14:paraId="7C8B57D0">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第一季度4家第二季度5家第三季度5家第四季度5家</w:t>
            </w:r>
          </w:p>
        </w:tc>
        <w:tc>
          <w:tcPr>
            <w:tcW w:w="1307" w:type="dxa"/>
            <w:tcBorders>
              <w:tl2br w:val="nil"/>
              <w:tr2bl w:val="nil"/>
            </w:tcBorders>
            <w:shd w:val="clear" w:color="auto" w:fill="auto"/>
            <w:vAlign w:val="center"/>
          </w:tcPr>
          <w:p w14:paraId="480659CB">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现场检查</w:t>
            </w:r>
          </w:p>
        </w:tc>
        <w:tc>
          <w:tcPr>
            <w:tcW w:w="1472" w:type="dxa"/>
            <w:tcBorders>
              <w:tl2br w:val="nil"/>
              <w:tr2bl w:val="nil"/>
            </w:tcBorders>
            <w:shd w:val="clear" w:color="auto" w:fill="auto"/>
            <w:vAlign w:val="center"/>
          </w:tcPr>
          <w:p w14:paraId="1F86E2CA">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彰武县市场监督管理局</w:t>
            </w:r>
          </w:p>
        </w:tc>
      </w:tr>
      <w:tr w14:paraId="31497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80" w:hRule="atLeast"/>
          <w:jc w:val="center"/>
        </w:trPr>
        <w:tc>
          <w:tcPr>
            <w:tcW w:w="718" w:type="dxa"/>
            <w:tcBorders>
              <w:tl2br w:val="nil"/>
              <w:tr2bl w:val="nil"/>
            </w:tcBorders>
            <w:shd w:val="clear" w:color="auto" w:fill="auto"/>
            <w:noWrap/>
            <w:vAlign w:val="center"/>
          </w:tcPr>
          <w:p w14:paraId="6DEDFB6F">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w:t>
            </w:r>
          </w:p>
        </w:tc>
        <w:tc>
          <w:tcPr>
            <w:tcW w:w="1356" w:type="dxa"/>
            <w:tcBorders>
              <w:tl2br w:val="nil"/>
              <w:tr2bl w:val="nil"/>
            </w:tcBorders>
            <w:shd w:val="clear" w:color="auto" w:fill="auto"/>
            <w:vAlign w:val="center"/>
          </w:tcPr>
          <w:p w14:paraId="37A5999D">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彰武县农业农村局</w:t>
            </w:r>
          </w:p>
        </w:tc>
        <w:tc>
          <w:tcPr>
            <w:tcW w:w="2136" w:type="dxa"/>
            <w:tcBorders>
              <w:tl2br w:val="nil"/>
              <w:tr2bl w:val="nil"/>
            </w:tcBorders>
            <w:shd w:val="clear" w:color="auto" w:fill="auto"/>
            <w:vAlign w:val="center"/>
          </w:tcPr>
          <w:p w14:paraId="4BB68FD8">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彰武县行政区划内农产品生产市场主体彰武县甜蜜蜜果蔬种植专业合作社等79家市场主体名录库中，按不超过20%随机抽取12家。</w:t>
            </w:r>
          </w:p>
        </w:tc>
        <w:tc>
          <w:tcPr>
            <w:tcW w:w="2544" w:type="dxa"/>
            <w:tcBorders>
              <w:tl2br w:val="nil"/>
              <w:tr2bl w:val="nil"/>
            </w:tcBorders>
            <w:shd w:val="clear" w:color="auto" w:fill="auto"/>
            <w:vAlign w:val="center"/>
          </w:tcPr>
          <w:p w14:paraId="31CCEE2E">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产品质量、生产记录、用药记录、销售台账、安全生产等。</w:t>
            </w:r>
          </w:p>
        </w:tc>
        <w:tc>
          <w:tcPr>
            <w:tcW w:w="3168" w:type="dxa"/>
            <w:tcBorders>
              <w:tl2br w:val="nil"/>
              <w:tr2bl w:val="nil"/>
            </w:tcBorders>
            <w:shd w:val="clear" w:color="auto" w:fill="auto"/>
            <w:vAlign w:val="center"/>
          </w:tcPr>
          <w:p w14:paraId="480A31DF">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 xml:space="preserve">《中华人民共和国农产品质量安全法》第五十二条等相应的法律、法规、规章。 </w:t>
            </w:r>
          </w:p>
        </w:tc>
        <w:tc>
          <w:tcPr>
            <w:tcW w:w="1752" w:type="dxa"/>
            <w:tcBorders>
              <w:tl2br w:val="nil"/>
              <w:tr2bl w:val="nil"/>
            </w:tcBorders>
            <w:shd w:val="clear" w:color="auto" w:fill="auto"/>
            <w:vAlign w:val="center"/>
          </w:tcPr>
          <w:p w14:paraId="53813C31">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第一季度3家第二季度3家</w:t>
            </w:r>
            <w:r>
              <w:rPr>
                <w:rFonts w:hint="eastAsia" w:ascii="仿宋" w:hAnsi="仿宋" w:eastAsia="仿宋" w:cs="仿宋"/>
                <w:color w:val="auto"/>
                <w:kern w:val="0"/>
                <w:sz w:val="24"/>
                <w:szCs w:val="24"/>
                <w:highlight w:val="none"/>
                <w:lang w:val="en-US" w:eastAsia="zh-CN"/>
              </w:rPr>
              <w:br w:type="textWrapping"/>
            </w:r>
            <w:r>
              <w:rPr>
                <w:rFonts w:hint="eastAsia" w:ascii="仿宋" w:hAnsi="仿宋" w:eastAsia="仿宋" w:cs="仿宋"/>
                <w:color w:val="auto"/>
                <w:kern w:val="0"/>
                <w:sz w:val="24"/>
                <w:szCs w:val="24"/>
                <w:highlight w:val="none"/>
                <w:lang w:val="en-US" w:eastAsia="zh-CN"/>
              </w:rPr>
              <w:t>第三季度3家第四季度3家</w:t>
            </w:r>
          </w:p>
        </w:tc>
        <w:tc>
          <w:tcPr>
            <w:tcW w:w="1307" w:type="dxa"/>
            <w:tcBorders>
              <w:tl2br w:val="nil"/>
              <w:tr2bl w:val="nil"/>
            </w:tcBorders>
            <w:shd w:val="clear" w:color="auto" w:fill="auto"/>
            <w:vAlign w:val="center"/>
          </w:tcPr>
          <w:p w14:paraId="327A36AB">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现场检查、抽样检测</w:t>
            </w:r>
          </w:p>
        </w:tc>
        <w:tc>
          <w:tcPr>
            <w:tcW w:w="1472" w:type="dxa"/>
            <w:tcBorders>
              <w:tl2br w:val="nil"/>
              <w:tr2bl w:val="nil"/>
            </w:tcBorders>
            <w:shd w:val="clear" w:color="auto" w:fill="auto"/>
            <w:vAlign w:val="center"/>
          </w:tcPr>
          <w:p w14:paraId="44EC9A95">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p>
        </w:tc>
      </w:tr>
      <w:tr w14:paraId="5A756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80" w:hRule="atLeast"/>
          <w:jc w:val="center"/>
        </w:trPr>
        <w:tc>
          <w:tcPr>
            <w:tcW w:w="718" w:type="dxa"/>
            <w:tcBorders>
              <w:tl2br w:val="nil"/>
              <w:tr2bl w:val="nil"/>
            </w:tcBorders>
            <w:shd w:val="clear" w:color="auto" w:fill="auto"/>
            <w:noWrap/>
            <w:vAlign w:val="center"/>
          </w:tcPr>
          <w:p w14:paraId="24CA0AF6">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8</w:t>
            </w:r>
          </w:p>
        </w:tc>
        <w:tc>
          <w:tcPr>
            <w:tcW w:w="1356" w:type="dxa"/>
            <w:tcBorders>
              <w:tl2br w:val="nil"/>
              <w:tr2bl w:val="nil"/>
            </w:tcBorders>
            <w:shd w:val="clear" w:color="auto" w:fill="auto"/>
            <w:vAlign w:val="center"/>
          </w:tcPr>
          <w:p w14:paraId="0AFA0A8B">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彰武县农业农村局</w:t>
            </w:r>
          </w:p>
        </w:tc>
        <w:tc>
          <w:tcPr>
            <w:tcW w:w="2136" w:type="dxa"/>
            <w:tcBorders>
              <w:tl2br w:val="nil"/>
              <w:tr2bl w:val="nil"/>
            </w:tcBorders>
            <w:shd w:val="clear" w:color="auto" w:fill="auto"/>
            <w:vAlign w:val="center"/>
          </w:tcPr>
          <w:p w14:paraId="5CEB15E9">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彰武县行政区划内种子生产经营市场主体彰武县丰瑞农业发展有限公司等120家市场主体名录库中，按不超过20%随机抽取24家。</w:t>
            </w:r>
          </w:p>
        </w:tc>
        <w:tc>
          <w:tcPr>
            <w:tcW w:w="2544" w:type="dxa"/>
            <w:tcBorders>
              <w:tl2br w:val="nil"/>
              <w:tr2bl w:val="nil"/>
            </w:tcBorders>
            <w:shd w:val="clear" w:color="auto" w:fill="auto"/>
            <w:vAlign w:val="center"/>
          </w:tcPr>
          <w:p w14:paraId="12B14136">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产品经营档案、备案、产品包装、标签、质量、审定、登记、安全生产等。</w:t>
            </w:r>
          </w:p>
        </w:tc>
        <w:tc>
          <w:tcPr>
            <w:tcW w:w="3168" w:type="dxa"/>
            <w:tcBorders>
              <w:tl2br w:val="nil"/>
              <w:tr2bl w:val="nil"/>
            </w:tcBorders>
            <w:shd w:val="clear" w:color="auto" w:fill="auto"/>
            <w:vAlign w:val="center"/>
          </w:tcPr>
          <w:p w14:paraId="799983A8">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《中华人民共和国种子法》第四十六条等相应的法律、法规、规章。</w:t>
            </w:r>
          </w:p>
        </w:tc>
        <w:tc>
          <w:tcPr>
            <w:tcW w:w="1752" w:type="dxa"/>
            <w:tcBorders>
              <w:tl2br w:val="nil"/>
              <w:tr2bl w:val="nil"/>
            </w:tcBorders>
            <w:shd w:val="clear" w:color="auto" w:fill="auto"/>
            <w:vAlign w:val="center"/>
          </w:tcPr>
          <w:p w14:paraId="2408DE15">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第一季度6家第二季度6家</w:t>
            </w:r>
            <w:r>
              <w:rPr>
                <w:rFonts w:hint="eastAsia" w:ascii="仿宋" w:hAnsi="仿宋" w:eastAsia="仿宋" w:cs="仿宋"/>
                <w:color w:val="auto"/>
                <w:kern w:val="0"/>
                <w:sz w:val="24"/>
                <w:szCs w:val="24"/>
                <w:highlight w:val="none"/>
                <w:lang w:val="en-US" w:eastAsia="zh-CN"/>
              </w:rPr>
              <w:br w:type="textWrapping"/>
            </w:r>
            <w:r>
              <w:rPr>
                <w:rFonts w:hint="eastAsia" w:ascii="仿宋" w:hAnsi="仿宋" w:eastAsia="仿宋" w:cs="仿宋"/>
                <w:color w:val="auto"/>
                <w:kern w:val="0"/>
                <w:sz w:val="24"/>
                <w:szCs w:val="24"/>
                <w:highlight w:val="none"/>
                <w:lang w:val="en-US" w:eastAsia="zh-CN"/>
              </w:rPr>
              <w:t>第三季度6家第四季度6家</w:t>
            </w:r>
          </w:p>
        </w:tc>
        <w:tc>
          <w:tcPr>
            <w:tcW w:w="1307" w:type="dxa"/>
            <w:tcBorders>
              <w:tl2br w:val="nil"/>
              <w:tr2bl w:val="nil"/>
            </w:tcBorders>
            <w:shd w:val="clear" w:color="auto" w:fill="auto"/>
            <w:vAlign w:val="center"/>
          </w:tcPr>
          <w:p w14:paraId="11657869">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现场检查</w:t>
            </w:r>
          </w:p>
        </w:tc>
        <w:tc>
          <w:tcPr>
            <w:tcW w:w="1472" w:type="dxa"/>
            <w:tcBorders>
              <w:tl2br w:val="nil"/>
              <w:tr2bl w:val="nil"/>
            </w:tcBorders>
            <w:shd w:val="clear" w:color="auto" w:fill="auto"/>
            <w:vAlign w:val="center"/>
          </w:tcPr>
          <w:p w14:paraId="7E21FAC7">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彰武县市场监督管理局</w:t>
            </w:r>
          </w:p>
        </w:tc>
      </w:tr>
      <w:tr w14:paraId="47354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80" w:hRule="atLeast"/>
          <w:jc w:val="center"/>
        </w:trPr>
        <w:tc>
          <w:tcPr>
            <w:tcW w:w="718" w:type="dxa"/>
            <w:tcBorders>
              <w:tl2br w:val="nil"/>
              <w:tr2bl w:val="nil"/>
            </w:tcBorders>
            <w:shd w:val="clear" w:color="auto" w:fill="auto"/>
            <w:noWrap/>
            <w:vAlign w:val="center"/>
          </w:tcPr>
          <w:p w14:paraId="3E80B46E">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9</w:t>
            </w:r>
          </w:p>
        </w:tc>
        <w:tc>
          <w:tcPr>
            <w:tcW w:w="1356" w:type="dxa"/>
            <w:tcBorders>
              <w:tl2br w:val="nil"/>
              <w:tr2bl w:val="nil"/>
            </w:tcBorders>
            <w:shd w:val="clear" w:color="auto" w:fill="auto"/>
            <w:vAlign w:val="center"/>
          </w:tcPr>
          <w:p w14:paraId="711AF7F3">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彰武县农业农村局</w:t>
            </w:r>
          </w:p>
        </w:tc>
        <w:tc>
          <w:tcPr>
            <w:tcW w:w="2136" w:type="dxa"/>
            <w:tcBorders>
              <w:tl2br w:val="nil"/>
              <w:tr2bl w:val="nil"/>
            </w:tcBorders>
            <w:shd w:val="clear" w:color="auto" w:fill="auto"/>
            <w:vAlign w:val="center"/>
          </w:tcPr>
          <w:p w14:paraId="3F542ACA">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彰武县行政区划内农药经营市场主体彰武东亚种子公司等120家市场主体名录库中，按不超过20%随机抽取24家。</w:t>
            </w:r>
          </w:p>
        </w:tc>
        <w:tc>
          <w:tcPr>
            <w:tcW w:w="2544" w:type="dxa"/>
            <w:tcBorders>
              <w:tl2br w:val="nil"/>
              <w:tr2bl w:val="nil"/>
            </w:tcBorders>
            <w:shd w:val="clear" w:color="auto" w:fill="auto"/>
            <w:vAlign w:val="center"/>
          </w:tcPr>
          <w:p w14:paraId="1359C21A">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产品经营档案、备案、产品包装、标签、质量、审定、登记、安全生产等。</w:t>
            </w:r>
          </w:p>
        </w:tc>
        <w:tc>
          <w:tcPr>
            <w:tcW w:w="3168" w:type="dxa"/>
            <w:tcBorders>
              <w:tl2br w:val="nil"/>
              <w:tr2bl w:val="nil"/>
            </w:tcBorders>
            <w:shd w:val="clear" w:color="auto" w:fill="auto"/>
            <w:vAlign w:val="center"/>
          </w:tcPr>
          <w:p w14:paraId="41BED453">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《农药管理条例》第三条等相应的法律、法规、规章。　</w:t>
            </w:r>
          </w:p>
        </w:tc>
        <w:tc>
          <w:tcPr>
            <w:tcW w:w="1752" w:type="dxa"/>
            <w:tcBorders>
              <w:tl2br w:val="nil"/>
              <w:tr2bl w:val="nil"/>
            </w:tcBorders>
            <w:shd w:val="clear" w:color="auto" w:fill="auto"/>
            <w:vAlign w:val="center"/>
          </w:tcPr>
          <w:p w14:paraId="78C97D96">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第一季度6家第二季度6家</w:t>
            </w:r>
            <w:r>
              <w:rPr>
                <w:rFonts w:hint="eastAsia" w:ascii="仿宋" w:hAnsi="仿宋" w:eastAsia="仿宋" w:cs="仿宋"/>
                <w:color w:val="auto"/>
                <w:kern w:val="0"/>
                <w:sz w:val="24"/>
                <w:szCs w:val="24"/>
                <w:highlight w:val="none"/>
                <w:lang w:val="en-US" w:eastAsia="zh-CN"/>
              </w:rPr>
              <w:br w:type="textWrapping"/>
            </w:r>
            <w:r>
              <w:rPr>
                <w:rFonts w:hint="eastAsia" w:ascii="仿宋" w:hAnsi="仿宋" w:eastAsia="仿宋" w:cs="仿宋"/>
                <w:color w:val="auto"/>
                <w:kern w:val="0"/>
                <w:sz w:val="24"/>
                <w:szCs w:val="24"/>
                <w:highlight w:val="none"/>
                <w:lang w:val="en-US" w:eastAsia="zh-CN"/>
              </w:rPr>
              <w:t>第三季度6家第四季度6家</w:t>
            </w:r>
          </w:p>
        </w:tc>
        <w:tc>
          <w:tcPr>
            <w:tcW w:w="1307" w:type="dxa"/>
            <w:tcBorders>
              <w:tl2br w:val="nil"/>
              <w:tr2bl w:val="nil"/>
            </w:tcBorders>
            <w:shd w:val="clear" w:color="auto" w:fill="auto"/>
            <w:vAlign w:val="center"/>
          </w:tcPr>
          <w:p w14:paraId="75F5ECCE">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现场检查</w:t>
            </w:r>
          </w:p>
        </w:tc>
        <w:tc>
          <w:tcPr>
            <w:tcW w:w="1472" w:type="dxa"/>
            <w:tcBorders>
              <w:tl2br w:val="nil"/>
              <w:tr2bl w:val="nil"/>
            </w:tcBorders>
            <w:shd w:val="clear" w:color="auto" w:fill="auto"/>
            <w:vAlign w:val="center"/>
          </w:tcPr>
          <w:p w14:paraId="78FC8441">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彰武县市场监督管理局</w:t>
            </w:r>
          </w:p>
        </w:tc>
      </w:tr>
      <w:tr w14:paraId="31637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6481FE80">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10</w:t>
            </w:r>
          </w:p>
        </w:tc>
        <w:tc>
          <w:tcPr>
            <w:tcW w:w="1356" w:type="dxa"/>
            <w:tcBorders>
              <w:tl2br w:val="nil"/>
              <w:tr2bl w:val="nil"/>
            </w:tcBorders>
            <w:noWrap/>
            <w:vAlign w:val="center"/>
          </w:tcPr>
          <w:p w14:paraId="5E9CEBA6">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彰武县气象局</w:t>
            </w:r>
          </w:p>
        </w:tc>
        <w:tc>
          <w:tcPr>
            <w:tcW w:w="2136" w:type="dxa"/>
            <w:tcBorders>
              <w:tl2br w:val="nil"/>
              <w:tr2bl w:val="nil"/>
            </w:tcBorders>
            <w:noWrap/>
            <w:vAlign w:val="center"/>
          </w:tcPr>
          <w:p w14:paraId="0E4A3B65">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全县油库、气库、弹药库、化学品仓库、烟花爆竹、石化等易燃易爆场所主体名录库共</w:t>
            </w:r>
            <w:r>
              <w:rPr>
                <w:rFonts w:hint="eastAsia" w:ascii="仿宋" w:hAnsi="仿宋" w:eastAsia="仿宋" w:cs="仿宋"/>
                <w:color w:val="auto"/>
                <w:sz w:val="24"/>
                <w:szCs w:val="24"/>
                <w:highlight w:val="none"/>
                <w:lang w:val="en-US" w:eastAsia="zh-CN"/>
              </w:rPr>
              <w:t>96</w:t>
            </w:r>
            <w:r>
              <w:rPr>
                <w:rFonts w:hint="eastAsia" w:ascii="仿宋" w:hAnsi="仿宋" w:eastAsia="仿宋" w:cs="仿宋"/>
                <w:color w:val="auto"/>
                <w:sz w:val="24"/>
                <w:szCs w:val="24"/>
                <w:highlight w:val="none"/>
              </w:rPr>
              <w:t>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按照不超过20%的</w:t>
            </w:r>
            <w:r>
              <w:rPr>
                <w:rFonts w:hint="eastAsia" w:ascii="仿宋" w:hAnsi="仿宋" w:eastAsia="仿宋" w:cs="仿宋"/>
                <w:color w:val="000000"/>
                <w:kern w:val="0"/>
                <w:sz w:val="24"/>
                <w:szCs w:val="24"/>
                <w:highlight w:val="none"/>
                <w:lang w:eastAsia="zh-CN"/>
              </w:rPr>
              <w:t>比例随机抽取</w:t>
            </w:r>
            <w:r>
              <w:rPr>
                <w:rFonts w:hint="eastAsia" w:ascii="仿宋" w:hAnsi="仿宋" w:eastAsia="仿宋" w:cs="仿宋"/>
                <w:color w:val="000000"/>
                <w:kern w:val="0"/>
                <w:sz w:val="24"/>
                <w:szCs w:val="24"/>
                <w:highlight w:val="none"/>
                <w:lang w:val="en-US" w:eastAsia="zh-CN"/>
              </w:rPr>
              <w:t>19</w:t>
            </w:r>
            <w:r>
              <w:rPr>
                <w:rFonts w:hint="eastAsia" w:ascii="仿宋" w:hAnsi="仿宋" w:eastAsia="仿宋" w:cs="仿宋"/>
                <w:color w:val="000000"/>
                <w:kern w:val="0"/>
                <w:sz w:val="24"/>
                <w:szCs w:val="24"/>
                <w:highlight w:val="none"/>
                <w:lang w:eastAsia="zh-CN"/>
              </w:rPr>
              <w:t>家</w:t>
            </w:r>
            <w:r>
              <w:rPr>
                <w:rFonts w:hint="eastAsia" w:ascii="仿宋" w:hAnsi="仿宋" w:eastAsia="仿宋" w:cs="仿宋"/>
                <w:color w:val="auto"/>
                <w:sz w:val="24"/>
                <w:szCs w:val="24"/>
                <w:highlight w:val="none"/>
              </w:rPr>
              <w:t>。</w:t>
            </w:r>
          </w:p>
        </w:tc>
        <w:tc>
          <w:tcPr>
            <w:tcW w:w="2544" w:type="dxa"/>
            <w:tcBorders>
              <w:tl2br w:val="nil"/>
              <w:tr2bl w:val="nil"/>
            </w:tcBorders>
            <w:noWrap/>
            <w:vAlign w:val="center"/>
          </w:tcPr>
          <w:p w14:paraId="5EA631AE">
            <w:pPr>
              <w:keepNext w:val="0"/>
              <w:keepLines w:val="0"/>
              <w:pageBreakBefore w:val="0"/>
              <w:tabs>
                <w:tab w:val="left" w:pos="735"/>
              </w:tabs>
              <w:kinsoku/>
              <w:wordWrap/>
              <w:overflowPunct/>
              <w:topLinePunct w:val="0"/>
              <w:autoSpaceDE/>
              <w:autoSpaceDN/>
              <w:bidi w:val="0"/>
              <w:adjustRightInd/>
              <w:spacing w:line="340" w:lineRule="exact"/>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是否定期开展防雷装置检测</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新、改、扩建易燃易爆场所是否进行防雷装置设计审核和竣工验收</w:t>
            </w:r>
            <w:r>
              <w:rPr>
                <w:rFonts w:hint="eastAsia" w:ascii="仿宋" w:hAnsi="仿宋" w:eastAsia="仿宋" w:cs="仿宋"/>
                <w:color w:val="auto"/>
                <w:sz w:val="24"/>
                <w:szCs w:val="24"/>
                <w:highlight w:val="none"/>
                <w:lang w:eastAsia="zh-CN"/>
              </w:rPr>
              <w:t>。</w:t>
            </w:r>
          </w:p>
        </w:tc>
        <w:tc>
          <w:tcPr>
            <w:tcW w:w="3168" w:type="dxa"/>
            <w:tcBorders>
              <w:tl2br w:val="nil"/>
              <w:tr2bl w:val="nil"/>
            </w:tcBorders>
            <w:noWrap/>
            <w:vAlign w:val="center"/>
          </w:tcPr>
          <w:p w14:paraId="6563311A">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《中华人民共和国气象法》第三十一条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《气象灾害防御条例》第二十三条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《国务院对确需保留的行政审批项目设定行政许可的决定》附件第378项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《防雷减灾管理办法》第</w:t>
            </w:r>
            <w:r>
              <w:rPr>
                <w:rStyle w:val="11"/>
                <w:rFonts w:hint="eastAsia" w:ascii="仿宋" w:hAnsi="仿宋" w:eastAsia="仿宋" w:cs="仿宋"/>
                <w:b w:val="0"/>
                <w:bCs w:val="0"/>
                <w:color w:val="auto"/>
                <w:sz w:val="24"/>
                <w:szCs w:val="24"/>
                <w:highlight w:val="none"/>
              </w:rPr>
              <w:t>十五条</w:t>
            </w:r>
            <w:r>
              <w:rPr>
                <w:rStyle w:val="11"/>
                <w:rFonts w:hint="eastAsia" w:ascii="仿宋" w:hAnsi="仿宋" w:eastAsia="仿宋" w:cs="仿宋"/>
                <w:b w:val="0"/>
                <w:bCs w:val="0"/>
                <w:color w:val="auto"/>
                <w:sz w:val="24"/>
                <w:szCs w:val="24"/>
                <w:highlight w:val="none"/>
                <w:lang w:eastAsia="zh-CN"/>
              </w:rPr>
              <w:t>、</w:t>
            </w:r>
            <w:r>
              <w:rPr>
                <w:rStyle w:val="11"/>
                <w:rFonts w:hint="eastAsia" w:ascii="仿宋" w:hAnsi="仿宋" w:eastAsia="仿宋" w:cs="仿宋"/>
                <w:b w:val="0"/>
                <w:bCs w:val="0"/>
                <w:color w:val="auto"/>
                <w:sz w:val="24"/>
                <w:szCs w:val="24"/>
                <w:highlight w:val="none"/>
              </w:rPr>
              <w:t>第十七条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第十九条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第二十三条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《防雷装置设计审核和竣工验收规定》第二条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《辽宁省雷电灾害防御管理规定》第三条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第九条</w:t>
            </w:r>
            <w:r>
              <w:rPr>
                <w:rFonts w:hint="eastAsia" w:ascii="仿宋" w:hAnsi="仿宋" w:eastAsia="仿宋" w:cs="仿宋"/>
                <w:color w:val="auto"/>
                <w:kern w:val="0"/>
                <w:sz w:val="24"/>
                <w:szCs w:val="24"/>
                <w:highlight w:val="none"/>
                <w:lang w:val="en-US" w:eastAsia="zh-CN"/>
              </w:rPr>
              <w:t>等相应的法律、法规、规章</w:t>
            </w:r>
            <w:r>
              <w:rPr>
                <w:rFonts w:hint="eastAsia" w:ascii="仿宋" w:hAnsi="仿宋" w:eastAsia="仿宋" w:cs="仿宋"/>
                <w:color w:val="auto"/>
                <w:sz w:val="24"/>
                <w:szCs w:val="24"/>
                <w:highlight w:val="none"/>
                <w:lang w:eastAsia="zh-CN"/>
              </w:rPr>
              <w:t>。</w:t>
            </w:r>
          </w:p>
        </w:tc>
        <w:tc>
          <w:tcPr>
            <w:tcW w:w="1752" w:type="dxa"/>
            <w:tcBorders>
              <w:tl2br w:val="nil"/>
              <w:tr2bl w:val="nil"/>
            </w:tcBorders>
            <w:noWrap/>
            <w:vAlign w:val="center"/>
          </w:tcPr>
          <w:p w14:paraId="57755F50">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第</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lang w:eastAsia="zh-CN"/>
              </w:rPr>
              <w:t>季度</w:t>
            </w:r>
            <w:r>
              <w:rPr>
                <w:rFonts w:hint="eastAsia" w:ascii="仿宋" w:hAnsi="仿宋" w:eastAsia="仿宋" w:cs="仿宋"/>
                <w:color w:val="auto"/>
                <w:sz w:val="24"/>
                <w:szCs w:val="24"/>
                <w:highlight w:val="none"/>
                <w:lang w:val="en-US" w:eastAsia="zh-CN"/>
              </w:rPr>
              <w:t>10家</w:t>
            </w:r>
          </w:p>
          <w:p w14:paraId="71AE60E0">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第</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季度</w:t>
            </w:r>
            <w:r>
              <w:rPr>
                <w:rFonts w:hint="eastAsia" w:ascii="仿宋" w:hAnsi="仿宋" w:eastAsia="仿宋" w:cs="仿宋"/>
                <w:color w:val="auto"/>
                <w:sz w:val="24"/>
                <w:szCs w:val="24"/>
                <w:highlight w:val="none"/>
                <w:lang w:val="en-US" w:eastAsia="zh-CN"/>
              </w:rPr>
              <w:t>9家</w:t>
            </w:r>
          </w:p>
        </w:tc>
        <w:tc>
          <w:tcPr>
            <w:tcW w:w="1307" w:type="dxa"/>
            <w:tcBorders>
              <w:tl2br w:val="nil"/>
              <w:tr2bl w:val="nil"/>
            </w:tcBorders>
            <w:noWrap/>
            <w:vAlign w:val="center"/>
          </w:tcPr>
          <w:p w14:paraId="70282F9F">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现场</w:t>
            </w:r>
            <w:r>
              <w:rPr>
                <w:rFonts w:hint="eastAsia" w:ascii="仿宋" w:hAnsi="仿宋" w:eastAsia="仿宋" w:cs="仿宋"/>
                <w:color w:val="auto"/>
                <w:sz w:val="24"/>
                <w:szCs w:val="24"/>
                <w:highlight w:val="none"/>
              </w:rPr>
              <w:t>检查</w:t>
            </w:r>
          </w:p>
          <w:p w14:paraId="7389B006">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auto"/>
                <w:kern w:val="2"/>
                <w:sz w:val="24"/>
                <w:szCs w:val="24"/>
                <w:highlight w:val="none"/>
                <w:lang w:val="en-US" w:eastAsia="zh-CN" w:bidi="ar-SA"/>
              </w:rPr>
            </w:pPr>
          </w:p>
        </w:tc>
        <w:tc>
          <w:tcPr>
            <w:tcW w:w="1472" w:type="dxa"/>
            <w:tcBorders>
              <w:tl2br w:val="nil"/>
              <w:tr2bl w:val="nil"/>
            </w:tcBorders>
            <w:noWrap/>
            <w:vAlign w:val="center"/>
          </w:tcPr>
          <w:p w14:paraId="0EB0A5AE">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auto"/>
                <w:kern w:val="0"/>
                <w:sz w:val="24"/>
                <w:szCs w:val="24"/>
                <w:highlight w:val="none"/>
              </w:rPr>
            </w:pPr>
          </w:p>
        </w:tc>
      </w:tr>
      <w:tr w14:paraId="1454A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21B641F1">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11</w:t>
            </w:r>
          </w:p>
        </w:tc>
        <w:tc>
          <w:tcPr>
            <w:tcW w:w="1356" w:type="dxa"/>
            <w:tcBorders>
              <w:tl2br w:val="nil"/>
              <w:tr2bl w:val="nil"/>
            </w:tcBorders>
            <w:noWrap/>
            <w:vAlign w:val="center"/>
          </w:tcPr>
          <w:p w14:paraId="4F0A496E">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eastAsia="zh-CN"/>
              </w:rPr>
              <w:t>彰武县人力资源和社会保障局</w:t>
            </w:r>
          </w:p>
        </w:tc>
        <w:tc>
          <w:tcPr>
            <w:tcW w:w="2136" w:type="dxa"/>
            <w:tcBorders>
              <w:tl2br w:val="nil"/>
              <w:tr2bl w:val="nil"/>
            </w:tcBorders>
            <w:noWrap/>
            <w:vAlign w:val="center"/>
          </w:tcPr>
          <w:p w14:paraId="497AC700">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eastAsia="zh-CN"/>
              </w:rPr>
              <w:t>彰武县行政区内彰武县建兴建筑工程公司、辽宁水资源生态开发（彰武）有限责任公司等市场主体名录库35000家</w:t>
            </w:r>
            <w:r>
              <w:rPr>
                <w:rFonts w:hint="eastAsia" w:ascii="仿宋" w:hAnsi="仿宋" w:eastAsia="仿宋" w:cs="仿宋"/>
                <w:color w:val="000000"/>
                <w:kern w:val="0"/>
                <w:sz w:val="24"/>
                <w:szCs w:val="24"/>
                <w:highlight w:val="none"/>
                <w:lang w:val="en-US" w:eastAsia="zh-CN"/>
              </w:rPr>
              <w:t>中</w:t>
            </w:r>
            <w:r>
              <w:rPr>
                <w:rFonts w:hint="eastAsia" w:ascii="仿宋" w:hAnsi="仿宋" w:eastAsia="仿宋" w:cs="仿宋"/>
                <w:color w:val="000000"/>
                <w:kern w:val="0"/>
                <w:sz w:val="24"/>
                <w:szCs w:val="24"/>
                <w:highlight w:val="none"/>
                <w:lang w:eastAsia="zh-CN"/>
              </w:rPr>
              <w:t>，不超过20%</w:t>
            </w:r>
            <w:r>
              <w:rPr>
                <w:rFonts w:hint="eastAsia" w:ascii="仿宋" w:hAnsi="仿宋" w:eastAsia="仿宋" w:cs="仿宋"/>
                <w:color w:val="000000"/>
                <w:kern w:val="0"/>
                <w:sz w:val="24"/>
                <w:szCs w:val="24"/>
                <w:highlight w:val="none"/>
                <w:lang w:val="en-US" w:eastAsia="zh-CN"/>
              </w:rPr>
              <w:t>的</w:t>
            </w:r>
            <w:r>
              <w:rPr>
                <w:rFonts w:hint="eastAsia" w:ascii="仿宋" w:hAnsi="仿宋" w:eastAsia="仿宋" w:cs="仿宋"/>
                <w:color w:val="000000"/>
                <w:kern w:val="0"/>
                <w:sz w:val="24"/>
                <w:szCs w:val="24"/>
                <w:highlight w:val="none"/>
                <w:lang w:eastAsia="zh-CN"/>
              </w:rPr>
              <w:t>比例抽取</w:t>
            </w:r>
            <w:r>
              <w:rPr>
                <w:rFonts w:hint="eastAsia" w:ascii="仿宋" w:hAnsi="仿宋" w:eastAsia="仿宋" w:cs="仿宋"/>
                <w:color w:val="000000"/>
                <w:kern w:val="0"/>
                <w:sz w:val="24"/>
                <w:szCs w:val="24"/>
                <w:highlight w:val="none"/>
                <w:lang w:val="en-US" w:eastAsia="zh-CN"/>
              </w:rPr>
              <w:t>14</w:t>
            </w:r>
            <w:r>
              <w:rPr>
                <w:rFonts w:hint="eastAsia" w:ascii="仿宋" w:hAnsi="仿宋" w:eastAsia="仿宋" w:cs="仿宋"/>
                <w:color w:val="000000"/>
                <w:kern w:val="0"/>
                <w:sz w:val="24"/>
                <w:szCs w:val="24"/>
                <w:highlight w:val="none"/>
                <w:lang w:eastAsia="zh-CN"/>
              </w:rPr>
              <w:t>家。</w:t>
            </w:r>
          </w:p>
        </w:tc>
        <w:tc>
          <w:tcPr>
            <w:tcW w:w="2544" w:type="dxa"/>
            <w:tcBorders>
              <w:tl2br w:val="nil"/>
              <w:tr2bl w:val="nil"/>
            </w:tcBorders>
            <w:noWrap/>
            <w:vAlign w:val="center"/>
          </w:tcPr>
          <w:p w14:paraId="5B6E11B5">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rPr>
              <w:t>用人单位遵守劳动保障法律、法规和规章的情况。</w:t>
            </w:r>
          </w:p>
        </w:tc>
        <w:tc>
          <w:tcPr>
            <w:tcW w:w="3168" w:type="dxa"/>
            <w:tcBorders>
              <w:tl2br w:val="nil"/>
              <w:tr2bl w:val="nil"/>
            </w:tcBorders>
            <w:noWrap/>
            <w:vAlign w:val="center"/>
          </w:tcPr>
          <w:p w14:paraId="23A6A7C3">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eastAsia="zh-CN"/>
              </w:rPr>
              <w:t>《中华人民共和国劳动法》第八十五条；《中华人民共和国劳动合同法》第七十四条；《中华人民共和国就业促进法》第六十条；《中华人民共和国社会保险法》第七十七条；《劳动保障监察条例》第十一条；《辽宁省劳动监察条例》第十二条等相应的法律、法规、规章。</w:t>
            </w:r>
          </w:p>
        </w:tc>
        <w:tc>
          <w:tcPr>
            <w:tcW w:w="1752" w:type="dxa"/>
            <w:tcBorders>
              <w:tl2br w:val="nil"/>
              <w:tr2bl w:val="nil"/>
            </w:tcBorders>
            <w:noWrap/>
            <w:vAlign w:val="center"/>
          </w:tcPr>
          <w:p w14:paraId="5666BFE5">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第二季度7家</w:t>
            </w:r>
          </w:p>
          <w:p w14:paraId="6097D944">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第四季度7家</w:t>
            </w:r>
          </w:p>
        </w:tc>
        <w:tc>
          <w:tcPr>
            <w:tcW w:w="1307" w:type="dxa"/>
            <w:tcBorders>
              <w:tl2br w:val="nil"/>
              <w:tr2bl w:val="nil"/>
            </w:tcBorders>
            <w:noWrap/>
            <w:vAlign w:val="center"/>
          </w:tcPr>
          <w:p w14:paraId="1F0FF4EE">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eastAsia="zh-CN"/>
              </w:rPr>
              <w:t>实地检查</w:t>
            </w:r>
          </w:p>
        </w:tc>
        <w:tc>
          <w:tcPr>
            <w:tcW w:w="1472" w:type="dxa"/>
            <w:tcBorders>
              <w:tl2br w:val="nil"/>
              <w:tr2bl w:val="nil"/>
            </w:tcBorders>
            <w:noWrap/>
            <w:vAlign w:val="center"/>
          </w:tcPr>
          <w:p w14:paraId="11676F0F">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auto"/>
                <w:kern w:val="0"/>
                <w:sz w:val="24"/>
                <w:szCs w:val="24"/>
                <w:highlight w:val="none"/>
                <w:lang w:val="en-US" w:eastAsia="zh-CN"/>
              </w:rPr>
              <w:t>彰武县市场监督管理局</w:t>
            </w:r>
          </w:p>
        </w:tc>
      </w:tr>
      <w:tr w14:paraId="13040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0" w:hRule="atLeast"/>
          <w:jc w:val="center"/>
        </w:trPr>
        <w:tc>
          <w:tcPr>
            <w:tcW w:w="718" w:type="dxa"/>
            <w:tcBorders>
              <w:tl2br w:val="nil"/>
              <w:tr2bl w:val="nil"/>
            </w:tcBorders>
            <w:noWrap/>
            <w:vAlign w:val="center"/>
          </w:tcPr>
          <w:p w14:paraId="110F27F0">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12</w:t>
            </w:r>
          </w:p>
        </w:tc>
        <w:tc>
          <w:tcPr>
            <w:tcW w:w="1356" w:type="dxa"/>
            <w:tcBorders>
              <w:tl2br w:val="nil"/>
              <w:tr2bl w:val="nil"/>
            </w:tcBorders>
            <w:noWrap/>
            <w:vAlign w:val="center"/>
          </w:tcPr>
          <w:p w14:paraId="0D3F3E68">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auto"/>
                <w:position w:val="0"/>
                <w:sz w:val="24"/>
                <w:szCs w:val="24"/>
                <w:highlight w:val="none"/>
              </w:rPr>
              <w:t>彰武县水利局</w:t>
            </w:r>
          </w:p>
        </w:tc>
        <w:tc>
          <w:tcPr>
            <w:tcW w:w="2136" w:type="dxa"/>
            <w:tcBorders>
              <w:tl2br w:val="nil"/>
              <w:tr2bl w:val="nil"/>
            </w:tcBorders>
            <w:noWrap/>
            <w:vAlign w:val="center"/>
          </w:tcPr>
          <w:p w14:paraId="7AABF07B">
            <w:pPr>
              <w:keepNext w:val="0"/>
              <w:keepLines w:val="0"/>
              <w:pageBreakBefore w:val="0"/>
              <w:numPr>
                <w:ilvl w:val="0"/>
                <w:numId w:val="0"/>
              </w:numPr>
              <w:kinsoku/>
              <w:wordWrap/>
              <w:overflowPunct/>
              <w:topLinePunct w:val="0"/>
              <w:autoSpaceDE/>
              <w:autoSpaceDN/>
              <w:bidi w:val="0"/>
              <w:adjustRightInd/>
              <w:snapToGrid w:val="0"/>
              <w:spacing w:before="0" w:line="340" w:lineRule="exact"/>
              <w:ind w:right="0" w:firstLine="0"/>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auto"/>
                <w:position w:val="0"/>
                <w:sz w:val="24"/>
                <w:szCs w:val="24"/>
                <w:highlight w:val="none"/>
              </w:rPr>
              <w:t>彰武县行政区划内水利局市场主体</w:t>
            </w:r>
            <w:r>
              <w:rPr>
                <w:rFonts w:hint="eastAsia" w:ascii="仿宋" w:hAnsi="仿宋" w:eastAsia="仿宋" w:cs="仿宋"/>
                <w:color w:val="auto"/>
                <w:position w:val="0"/>
                <w:sz w:val="24"/>
                <w:szCs w:val="24"/>
                <w:highlight w:val="none"/>
                <w:lang w:eastAsia="zh-CN"/>
              </w:rPr>
              <w:t>（</w:t>
            </w:r>
            <w:r>
              <w:rPr>
                <w:rFonts w:hint="eastAsia" w:ascii="仿宋" w:hAnsi="仿宋" w:eastAsia="仿宋" w:cs="仿宋"/>
                <w:color w:val="000000"/>
                <w:position w:val="0"/>
                <w:sz w:val="24"/>
                <w:szCs w:val="24"/>
                <w:highlight w:val="none"/>
              </w:rPr>
              <w:t>彰武县伟华烧结砖厂</w:t>
            </w:r>
            <w:r>
              <w:rPr>
                <w:rFonts w:hint="eastAsia" w:ascii="仿宋" w:hAnsi="仿宋" w:eastAsia="仿宋" w:cs="仿宋"/>
                <w:color w:val="auto"/>
                <w:position w:val="0"/>
                <w:sz w:val="24"/>
                <w:szCs w:val="24"/>
                <w:highlight w:val="none"/>
              </w:rPr>
              <w:t>等</w:t>
            </w:r>
            <w:r>
              <w:rPr>
                <w:rFonts w:hint="eastAsia" w:ascii="仿宋" w:hAnsi="仿宋" w:eastAsia="仿宋" w:cs="仿宋"/>
                <w:color w:val="auto"/>
                <w:position w:val="0"/>
                <w:sz w:val="24"/>
                <w:szCs w:val="24"/>
                <w:highlight w:val="none"/>
                <w:lang w:val="en-US" w:eastAsia="zh-CN"/>
              </w:rPr>
              <w:t>75</w:t>
            </w:r>
            <w:r>
              <w:rPr>
                <w:rFonts w:hint="eastAsia" w:ascii="仿宋" w:hAnsi="仿宋" w:eastAsia="仿宋" w:cs="仿宋"/>
                <w:color w:val="auto"/>
                <w:position w:val="0"/>
                <w:sz w:val="24"/>
                <w:szCs w:val="24"/>
                <w:highlight w:val="none"/>
              </w:rPr>
              <w:t>家</w:t>
            </w:r>
            <w:r>
              <w:rPr>
                <w:rFonts w:hint="eastAsia" w:ascii="仿宋" w:hAnsi="仿宋" w:eastAsia="仿宋" w:cs="仿宋"/>
                <w:color w:val="auto"/>
                <w:position w:val="0"/>
                <w:sz w:val="24"/>
                <w:szCs w:val="24"/>
                <w:highlight w:val="none"/>
                <w:lang w:eastAsia="zh-CN"/>
              </w:rPr>
              <w:t>）</w:t>
            </w:r>
            <w:r>
              <w:rPr>
                <w:rFonts w:hint="eastAsia" w:ascii="仿宋" w:hAnsi="仿宋" w:eastAsia="仿宋" w:cs="仿宋"/>
                <w:color w:val="auto"/>
                <w:position w:val="0"/>
                <w:sz w:val="24"/>
                <w:szCs w:val="24"/>
                <w:highlight w:val="none"/>
                <w:lang w:val="en-US" w:eastAsia="zh-CN"/>
              </w:rPr>
              <w:t>名</w:t>
            </w:r>
            <w:r>
              <w:rPr>
                <w:rFonts w:hint="eastAsia" w:ascii="仿宋" w:hAnsi="仿宋" w:eastAsia="仿宋" w:cs="仿宋"/>
                <w:color w:val="auto"/>
                <w:position w:val="0"/>
                <w:sz w:val="24"/>
                <w:szCs w:val="24"/>
                <w:highlight w:val="none"/>
              </w:rPr>
              <w:t>录库</w:t>
            </w:r>
            <w:r>
              <w:rPr>
                <w:rFonts w:hint="eastAsia" w:ascii="仿宋" w:hAnsi="仿宋" w:eastAsia="仿宋" w:cs="仿宋"/>
                <w:color w:val="auto"/>
                <w:position w:val="0"/>
                <w:sz w:val="24"/>
                <w:szCs w:val="24"/>
                <w:highlight w:val="none"/>
                <w:lang w:eastAsia="zh-CN"/>
              </w:rPr>
              <w:t>，</w:t>
            </w:r>
            <w:r>
              <w:rPr>
                <w:rFonts w:hint="eastAsia" w:ascii="仿宋" w:hAnsi="仿宋" w:eastAsia="仿宋" w:cs="仿宋"/>
                <w:color w:val="auto"/>
                <w:position w:val="0"/>
                <w:sz w:val="24"/>
                <w:szCs w:val="24"/>
                <w:highlight w:val="none"/>
                <w:lang w:val="en-US" w:eastAsia="zh-CN"/>
              </w:rPr>
              <w:t>县水利局按照6</w:t>
            </w:r>
            <w:r>
              <w:rPr>
                <w:rFonts w:hint="eastAsia" w:ascii="仿宋" w:hAnsi="仿宋" w:eastAsia="仿宋" w:cs="仿宋"/>
                <w:color w:val="auto"/>
                <w:position w:val="0"/>
                <w:sz w:val="24"/>
                <w:szCs w:val="24"/>
                <w:highlight w:val="none"/>
              </w:rPr>
              <w:t>%</w:t>
            </w:r>
            <w:r>
              <w:rPr>
                <w:rFonts w:hint="eastAsia" w:ascii="仿宋" w:hAnsi="仿宋" w:eastAsia="仿宋" w:cs="仿宋"/>
                <w:color w:val="auto"/>
                <w:position w:val="0"/>
                <w:sz w:val="24"/>
                <w:szCs w:val="24"/>
                <w:highlight w:val="none"/>
                <w:lang w:val="en-US" w:eastAsia="zh-CN"/>
              </w:rPr>
              <w:t>的</w:t>
            </w:r>
            <w:r>
              <w:rPr>
                <w:rFonts w:hint="eastAsia" w:ascii="仿宋" w:hAnsi="仿宋" w:eastAsia="仿宋" w:cs="仿宋"/>
                <w:color w:val="auto"/>
                <w:position w:val="0"/>
                <w:sz w:val="24"/>
                <w:szCs w:val="24"/>
                <w:highlight w:val="none"/>
              </w:rPr>
              <w:t>比例抽取</w:t>
            </w:r>
            <w:r>
              <w:rPr>
                <w:rFonts w:hint="eastAsia" w:ascii="仿宋" w:hAnsi="仿宋" w:eastAsia="仿宋" w:cs="仿宋"/>
                <w:color w:val="auto"/>
                <w:position w:val="0"/>
                <w:sz w:val="24"/>
                <w:szCs w:val="24"/>
                <w:highlight w:val="none"/>
                <w:lang w:val="en-US" w:eastAsia="zh-CN"/>
              </w:rPr>
              <w:t>4</w:t>
            </w:r>
            <w:r>
              <w:rPr>
                <w:rFonts w:hint="eastAsia" w:ascii="仿宋" w:hAnsi="仿宋" w:eastAsia="仿宋" w:cs="仿宋"/>
                <w:color w:val="auto"/>
                <w:position w:val="0"/>
                <w:sz w:val="24"/>
                <w:szCs w:val="24"/>
                <w:highlight w:val="none"/>
              </w:rPr>
              <w:t>家</w:t>
            </w:r>
            <w:r>
              <w:rPr>
                <w:rFonts w:hint="eastAsia" w:ascii="仿宋" w:hAnsi="仿宋" w:eastAsia="仿宋" w:cs="仿宋"/>
                <w:color w:val="auto"/>
                <w:position w:val="0"/>
                <w:sz w:val="24"/>
                <w:szCs w:val="24"/>
                <w:highlight w:val="none"/>
                <w:lang w:eastAsia="zh-CN"/>
              </w:rPr>
              <w:t>。</w:t>
            </w:r>
          </w:p>
        </w:tc>
        <w:tc>
          <w:tcPr>
            <w:tcW w:w="2544" w:type="dxa"/>
            <w:tcBorders>
              <w:tl2br w:val="nil"/>
              <w:tr2bl w:val="nil"/>
            </w:tcBorders>
            <w:noWrap/>
            <w:vAlign w:val="center"/>
          </w:tcPr>
          <w:p w14:paraId="37309D60">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auto"/>
                <w:position w:val="0"/>
                <w:sz w:val="24"/>
                <w:szCs w:val="24"/>
                <w:highlight w:val="none"/>
              </w:rPr>
              <w:t>各类市场主体是否违反《中华人民共和国水土保持法》等</w:t>
            </w:r>
            <w:r>
              <w:rPr>
                <w:rFonts w:hint="eastAsia" w:ascii="仿宋" w:hAnsi="仿宋" w:eastAsia="仿宋" w:cs="仿宋"/>
                <w:color w:val="auto"/>
                <w:position w:val="0"/>
                <w:sz w:val="24"/>
                <w:szCs w:val="24"/>
                <w:highlight w:val="none"/>
                <w:lang w:eastAsia="zh-CN"/>
              </w:rPr>
              <w:t>法律法规。</w:t>
            </w:r>
          </w:p>
        </w:tc>
        <w:tc>
          <w:tcPr>
            <w:tcW w:w="3168" w:type="dxa"/>
            <w:tcBorders>
              <w:tl2br w:val="nil"/>
              <w:tr2bl w:val="nil"/>
            </w:tcBorders>
            <w:noWrap/>
            <w:vAlign w:val="center"/>
          </w:tcPr>
          <w:p w14:paraId="71BD7353">
            <w:pPr>
              <w:keepNext w:val="0"/>
              <w:keepLines w:val="0"/>
              <w:pageBreakBefore w:val="0"/>
              <w:numPr>
                <w:ilvl w:val="0"/>
                <w:numId w:val="0"/>
              </w:numPr>
              <w:kinsoku/>
              <w:wordWrap/>
              <w:overflowPunct/>
              <w:topLinePunct w:val="0"/>
              <w:autoSpaceDE/>
              <w:autoSpaceDN/>
              <w:bidi w:val="0"/>
              <w:adjustRightInd/>
              <w:snapToGrid w:val="0"/>
              <w:spacing w:before="0" w:line="340" w:lineRule="exact"/>
              <w:ind w:left="0" w:leftChars="0" w:right="0" w:rightChars="0" w:firstLine="0" w:firstLineChars="0"/>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auto"/>
                <w:position w:val="0"/>
                <w:sz w:val="24"/>
                <w:szCs w:val="24"/>
                <w:highlight w:val="none"/>
              </w:rPr>
              <w:t>《中华人民共和国水土保持法》第四十三条</w:t>
            </w:r>
            <w:r>
              <w:rPr>
                <w:rFonts w:hint="eastAsia" w:ascii="仿宋" w:hAnsi="仿宋" w:eastAsia="仿宋" w:cs="仿宋"/>
                <w:color w:val="auto"/>
                <w:position w:val="0"/>
                <w:sz w:val="24"/>
                <w:szCs w:val="24"/>
                <w:highlight w:val="none"/>
                <w:lang w:eastAsia="zh-CN"/>
              </w:rPr>
              <w:t>、</w:t>
            </w:r>
            <w:r>
              <w:rPr>
                <w:rFonts w:hint="eastAsia" w:ascii="仿宋" w:hAnsi="仿宋" w:eastAsia="仿宋" w:cs="仿宋"/>
                <w:color w:val="auto"/>
                <w:position w:val="0"/>
                <w:sz w:val="24"/>
                <w:szCs w:val="24"/>
                <w:highlight w:val="none"/>
              </w:rPr>
              <w:t xml:space="preserve"> 第四十四条</w:t>
            </w:r>
            <w:r>
              <w:rPr>
                <w:rFonts w:hint="eastAsia" w:ascii="仿宋" w:hAnsi="仿宋" w:eastAsia="仿宋" w:cs="仿宋"/>
                <w:color w:val="auto"/>
                <w:position w:val="0"/>
                <w:sz w:val="24"/>
                <w:szCs w:val="24"/>
                <w:highlight w:val="none"/>
                <w:lang w:eastAsia="zh-CN"/>
              </w:rPr>
              <w:t>、</w:t>
            </w:r>
            <w:r>
              <w:rPr>
                <w:rFonts w:hint="eastAsia" w:ascii="仿宋" w:hAnsi="仿宋" w:eastAsia="仿宋" w:cs="仿宋"/>
                <w:color w:val="auto"/>
                <w:position w:val="0"/>
                <w:sz w:val="24"/>
                <w:szCs w:val="24"/>
                <w:highlight w:val="none"/>
              </w:rPr>
              <w:t>第四十五条</w:t>
            </w:r>
            <w:r>
              <w:rPr>
                <w:rFonts w:hint="eastAsia" w:ascii="仿宋" w:hAnsi="仿宋" w:eastAsia="仿宋" w:cs="仿宋"/>
                <w:color w:val="000000"/>
                <w:kern w:val="0"/>
                <w:sz w:val="24"/>
                <w:szCs w:val="24"/>
                <w:highlight w:val="none"/>
                <w:lang w:val="en-US" w:eastAsia="zh-CN"/>
              </w:rPr>
              <w:t>等</w:t>
            </w:r>
            <w:r>
              <w:rPr>
                <w:rFonts w:hint="eastAsia" w:ascii="仿宋" w:hAnsi="仿宋" w:eastAsia="仿宋" w:cs="仿宋"/>
                <w:sz w:val="24"/>
                <w:szCs w:val="24"/>
                <w:highlight w:val="none"/>
              </w:rPr>
              <w:t>相应的法律、法规、规章。</w:t>
            </w:r>
          </w:p>
        </w:tc>
        <w:tc>
          <w:tcPr>
            <w:tcW w:w="1752" w:type="dxa"/>
            <w:tcBorders>
              <w:tl2br w:val="nil"/>
              <w:tr2bl w:val="nil"/>
            </w:tcBorders>
            <w:noWrap/>
            <w:vAlign w:val="center"/>
          </w:tcPr>
          <w:p w14:paraId="40C80503">
            <w:pPr>
              <w:keepNext w:val="0"/>
              <w:keepLines w:val="0"/>
              <w:pageBreakBefore w:val="0"/>
              <w:numPr>
                <w:ilvl w:val="0"/>
                <w:numId w:val="0"/>
              </w:numPr>
              <w:kinsoku/>
              <w:wordWrap/>
              <w:overflowPunct/>
              <w:topLinePunct w:val="0"/>
              <w:autoSpaceDE/>
              <w:autoSpaceDN/>
              <w:bidi w:val="0"/>
              <w:adjustRightInd/>
              <w:snapToGrid w:val="0"/>
              <w:spacing w:before="0" w:line="340" w:lineRule="exact"/>
              <w:ind w:right="0" w:firstLine="0"/>
              <w:jc w:val="both"/>
              <w:rPr>
                <w:rFonts w:hint="eastAsia" w:ascii="仿宋" w:hAnsi="仿宋" w:eastAsia="仿宋" w:cs="仿宋"/>
                <w:color w:val="auto"/>
                <w:position w:val="0"/>
                <w:sz w:val="24"/>
                <w:szCs w:val="24"/>
                <w:highlight w:val="none"/>
              </w:rPr>
            </w:pPr>
          </w:p>
          <w:p w14:paraId="06F9B34A">
            <w:pPr>
              <w:keepNext w:val="0"/>
              <w:keepLines w:val="0"/>
              <w:pageBreakBefore w:val="0"/>
              <w:numPr>
                <w:ilvl w:val="0"/>
                <w:numId w:val="0"/>
              </w:numPr>
              <w:kinsoku/>
              <w:wordWrap/>
              <w:overflowPunct/>
              <w:topLinePunct w:val="0"/>
              <w:autoSpaceDE/>
              <w:autoSpaceDN/>
              <w:bidi w:val="0"/>
              <w:adjustRightInd/>
              <w:snapToGrid w:val="0"/>
              <w:spacing w:before="0" w:line="340" w:lineRule="exact"/>
              <w:ind w:right="0" w:firstLine="0"/>
              <w:jc w:val="both"/>
              <w:rPr>
                <w:rFonts w:hint="eastAsia" w:ascii="仿宋" w:hAnsi="仿宋" w:eastAsia="仿宋" w:cs="仿宋"/>
                <w:color w:val="auto"/>
                <w:position w:val="0"/>
                <w:sz w:val="24"/>
                <w:szCs w:val="24"/>
                <w:highlight w:val="none"/>
              </w:rPr>
            </w:pPr>
          </w:p>
          <w:p w14:paraId="4F13D5C7">
            <w:pPr>
              <w:keepNext w:val="0"/>
              <w:keepLines w:val="0"/>
              <w:pageBreakBefore w:val="0"/>
              <w:numPr>
                <w:ilvl w:val="0"/>
                <w:numId w:val="0"/>
              </w:numPr>
              <w:kinsoku/>
              <w:wordWrap/>
              <w:overflowPunct/>
              <w:topLinePunct w:val="0"/>
              <w:autoSpaceDE/>
              <w:autoSpaceDN/>
              <w:bidi w:val="0"/>
              <w:adjustRightInd/>
              <w:snapToGrid w:val="0"/>
              <w:spacing w:before="0" w:line="340" w:lineRule="exact"/>
              <w:ind w:right="0" w:firstLine="0"/>
              <w:jc w:val="both"/>
              <w:rPr>
                <w:rFonts w:hint="eastAsia" w:ascii="仿宋" w:hAnsi="仿宋" w:eastAsia="仿宋" w:cs="仿宋"/>
                <w:color w:val="auto"/>
                <w:position w:val="0"/>
                <w:sz w:val="24"/>
                <w:szCs w:val="24"/>
                <w:highlight w:val="none"/>
              </w:rPr>
            </w:pPr>
            <w:r>
              <w:rPr>
                <w:rFonts w:hint="eastAsia" w:ascii="仿宋" w:hAnsi="仿宋" w:eastAsia="仿宋" w:cs="仿宋"/>
                <w:color w:val="auto"/>
                <w:position w:val="0"/>
                <w:sz w:val="24"/>
                <w:szCs w:val="24"/>
                <w:highlight w:val="none"/>
              </w:rPr>
              <w:t>第</w:t>
            </w:r>
            <w:r>
              <w:rPr>
                <w:rFonts w:hint="eastAsia" w:ascii="仿宋" w:hAnsi="仿宋" w:eastAsia="仿宋" w:cs="仿宋"/>
                <w:color w:val="auto"/>
                <w:position w:val="0"/>
                <w:sz w:val="24"/>
                <w:szCs w:val="24"/>
                <w:highlight w:val="none"/>
                <w:lang w:val="en-US" w:eastAsia="zh-CN"/>
              </w:rPr>
              <w:t>三</w:t>
            </w:r>
            <w:r>
              <w:rPr>
                <w:rFonts w:hint="eastAsia" w:ascii="仿宋" w:hAnsi="仿宋" w:eastAsia="仿宋" w:cs="仿宋"/>
                <w:color w:val="auto"/>
                <w:position w:val="0"/>
                <w:sz w:val="24"/>
                <w:szCs w:val="24"/>
                <w:highlight w:val="none"/>
              </w:rPr>
              <w:t>季度</w:t>
            </w:r>
            <w:r>
              <w:rPr>
                <w:rFonts w:hint="eastAsia" w:ascii="仿宋" w:hAnsi="仿宋" w:eastAsia="仿宋" w:cs="仿宋"/>
                <w:color w:val="auto"/>
                <w:position w:val="0"/>
                <w:sz w:val="24"/>
                <w:szCs w:val="24"/>
                <w:highlight w:val="none"/>
                <w:lang w:val="en-US" w:eastAsia="zh-CN"/>
              </w:rPr>
              <w:t>2</w:t>
            </w:r>
            <w:r>
              <w:rPr>
                <w:rFonts w:hint="eastAsia" w:ascii="仿宋" w:hAnsi="仿宋" w:eastAsia="仿宋" w:cs="仿宋"/>
                <w:color w:val="auto"/>
                <w:position w:val="0"/>
                <w:sz w:val="24"/>
                <w:szCs w:val="24"/>
                <w:highlight w:val="none"/>
              </w:rPr>
              <w:t xml:space="preserve">家 </w:t>
            </w:r>
          </w:p>
          <w:p w14:paraId="00B4FADE">
            <w:pPr>
              <w:keepNext w:val="0"/>
              <w:keepLines w:val="0"/>
              <w:pageBreakBefore w:val="0"/>
              <w:numPr>
                <w:ilvl w:val="0"/>
                <w:numId w:val="0"/>
              </w:numPr>
              <w:kinsoku/>
              <w:wordWrap/>
              <w:overflowPunct/>
              <w:topLinePunct w:val="0"/>
              <w:autoSpaceDE/>
              <w:autoSpaceDN/>
              <w:bidi w:val="0"/>
              <w:adjustRightInd/>
              <w:snapToGrid w:val="0"/>
              <w:spacing w:before="0" w:line="340" w:lineRule="exact"/>
              <w:ind w:right="0" w:firstLine="0"/>
              <w:jc w:val="both"/>
              <w:rPr>
                <w:rFonts w:hint="eastAsia" w:ascii="仿宋" w:hAnsi="仿宋" w:eastAsia="仿宋" w:cs="仿宋"/>
                <w:color w:val="auto"/>
                <w:position w:val="0"/>
                <w:sz w:val="24"/>
                <w:szCs w:val="24"/>
                <w:highlight w:val="none"/>
              </w:rPr>
            </w:pPr>
            <w:r>
              <w:rPr>
                <w:rFonts w:hint="eastAsia" w:ascii="仿宋" w:hAnsi="仿宋" w:eastAsia="仿宋" w:cs="仿宋"/>
                <w:color w:val="auto"/>
                <w:position w:val="0"/>
                <w:sz w:val="24"/>
                <w:szCs w:val="24"/>
                <w:highlight w:val="none"/>
              </w:rPr>
              <w:t>第</w:t>
            </w:r>
            <w:r>
              <w:rPr>
                <w:rFonts w:hint="eastAsia" w:ascii="仿宋" w:hAnsi="仿宋" w:eastAsia="仿宋" w:cs="仿宋"/>
                <w:color w:val="auto"/>
                <w:position w:val="0"/>
                <w:sz w:val="24"/>
                <w:szCs w:val="24"/>
                <w:highlight w:val="none"/>
                <w:lang w:val="en-US" w:eastAsia="zh-CN"/>
              </w:rPr>
              <w:t>四</w:t>
            </w:r>
            <w:r>
              <w:rPr>
                <w:rFonts w:hint="eastAsia" w:ascii="仿宋" w:hAnsi="仿宋" w:eastAsia="仿宋" w:cs="仿宋"/>
                <w:color w:val="auto"/>
                <w:position w:val="0"/>
                <w:sz w:val="24"/>
                <w:szCs w:val="24"/>
                <w:highlight w:val="none"/>
              </w:rPr>
              <w:t>季度</w:t>
            </w:r>
            <w:r>
              <w:rPr>
                <w:rFonts w:hint="eastAsia" w:ascii="仿宋" w:hAnsi="仿宋" w:eastAsia="仿宋" w:cs="仿宋"/>
                <w:color w:val="auto"/>
                <w:position w:val="0"/>
                <w:sz w:val="24"/>
                <w:szCs w:val="24"/>
                <w:highlight w:val="none"/>
                <w:lang w:val="en-US" w:eastAsia="zh-CN"/>
              </w:rPr>
              <w:t>2</w:t>
            </w:r>
            <w:r>
              <w:rPr>
                <w:rFonts w:hint="eastAsia" w:ascii="仿宋" w:hAnsi="仿宋" w:eastAsia="仿宋" w:cs="仿宋"/>
                <w:color w:val="auto"/>
                <w:position w:val="0"/>
                <w:sz w:val="24"/>
                <w:szCs w:val="24"/>
                <w:highlight w:val="none"/>
              </w:rPr>
              <w:t>家</w:t>
            </w:r>
          </w:p>
          <w:p w14:paraId="6D93FED7">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p>
        </w:tc>
        <w:tc>
          <w:tcPr>
            <w:tcW w:w="1307" w:type="dxa"/>
            <w:tcBorders>
              <w:tl2br w:val="nil"/>
              <w:tr2bl w:val="nil"/>
            </w:tcBorders>
            <w:noWrap/>
            <w:vAlign w:val="center"/>
          </w:tcPr>
          <w:p w14:paraId="0C8674B0">
            <w:pPr>
              <w:keepNext w:val="0"/>
              <w:keepLines w:val="0"/>
              <w:pageBreakBefore w:val="0"/>
              <w:numPr>
                <w:ilvl w:val="0"/>
                <w:numId w:val="0"/>
              </w:numPr>
              <w:kinsoku/>
              <w:wordWrap/>
              <w:overflowPunct/>
              <w:topLinePunct w:val="0"/>
              <w:autoSpaceDE/>
              <w:autoSpaceDN/>
              <w:bidi w:val="0"/>
              <w:adjustRightInd/>
              <w:snapToGrid w:val="0"/>
              <w:spacing w:before="0" w:line="340" w:lineRule="exact"/>
              <w:ind w:right="0"/>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position w:val="0"/>
                <w:sz w:val="24"/>
                <w:szCs w:val="24"/>
                <w:highlight w:val="none"/>
              </w:rPr>
              <w:t>现场查验</w:t>
            </w:r>
            <w:r>
              <w:rPr>
                <w:rFonts w:hint="eastAsia" w:ascii="仿宋" w:hAnsi="仿宋" w:eastAsia="仿宋" w:cs="仿宋"/>
                <w:color w:val="000000"/>
                <w:position w:val="0"/>
                <w:sz w:val="24"/>
                <w:szCs w:val="24"/>
                <w:highlight w:val="none"/>
                <w:lang w:eastAsia="zh-CN"/>
              </w:rPr>
              <w:t>、</w:t>
            </w:r>
            <w:r>
              <w:rPr>
                <w:rFonts w:hint="eastAsia" w:ascii="仿宋" w:hAnsi="仿宋" w:eastAsia="仿宋" w:cs="仿宋"/>
                <w:color w:val="000000"/>
                <w:position w:val="0"/>
                <w:sz w:val="24"/>
                <w:szCs w:val="24"/>
                <w:highlight w:val="none"/>
                <w:lang w:val="en-US" w:eastAsia="zh-CN"/>
              </w:rPr>
              <w:t>检验</w:t>
            </w:r>
          </w:p>
        </w:tc>
        <w:tc>
          <w:tcPr>
            <w:tcW w:w="1472" w:type="dxa"/>
            <w:tcBorders>
              <w:tl2br w:val="nil"/>
              <w:tr2bl w:val="nil"/>
            </w:tcBorders>
            <w:noWrap/>
            <w:vAlign w:val="center"/>
          </w:tcPr>
          <w:p w14:paraId="738ADF6B">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rPr>
            </w:pPr>
          </w:p>
        </w:tc>
      </w:tr>
      <w:tr w14:paraId="3BFD8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644866AF">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13</w:t>
            </w:r>
          </w:p>
        </w:tc>
        <w:tc>
          <w:tcPr>
            <w:tcW w:w="1356" w:type="dxa"/>
            <w:tcBorders>
              <w:tl2br w:val="nil"/>
              <w:tr2bl w:val="nil"/>
            </w:tcBorders>
            <w:noWrap/>
            <w:vAlign w:val="center"/>
          </w:tcPr>
          <w:p w14:paraId="356426C9">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auto"/>
                <w:position w:val="0"/>
                <w:sz w:val="24"/>
                <w:szCs w:val="24"/>
                <w:highlight w:val="none"/>
              </w:rPr>
              <w:t>彰武县水利局</w:t>
            </w:r>
          </w:p>
        </w:tc>
        <w:tc>
          <w:tcPr>
            <w:tcW w:w="2136" w:type="dxa"/>
            <w:tcBorders>
              <w:tl2br w:val="nil"/>
              <w:tr2bl w:val="nil"/>
            </w:tcBorders>
            <w:noWrap/>
            <w:vAlign w:val="center"/>
          </w:tcPr>
          <w:p w14:paraId="3733E891">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auto"/>
                <w:position w:val="0"/>
                <w:sz w:val="24"/>
                <w:szCs w:val="24"/>
                <w:highlight w:val="none"/>
              </w:rPr>
              <w:t>彰武县行政区划内水利局市场主体</w:t>
            </w:r>
            <w:r>
              <w:rPr>
                <w:rFonts w:hint="eastAsia" w:ascii="仿宋" w:hAnsi="仿宋" w:eastAsia="仿宋" w:cs="仿宋"/>
                <w:color w:val="auto"/>
                <w:position w:val="0"/>
                <w:sz w:val="24"/>
                <w:szCs w:val="24"/>
                <w:highlight w:val="none"/>
                <w:lang w:eastAsia="zh-CN"/>
              </w:rPr>
              <w:t>（</w:t>
            </w:r>
            <w:r>
              <w:rPr>
                <w:rFonts w:hint="eastAsia" w:ascii="仿宋" w:hAnsi="仿宋" w:eastAsia="仿宋" w:cs="仿宋"/>
                <w:color w:val="000000"/>
                <w:position w:val="0"/>
                <w:sz w:val="24"/>
                <w:szCs w:val="24"/>
                <w:highlight w:val="none"/>
              </w:rPr>
              <w:t>彰武县逍遥楼宾馆等</w:t>
            </w:r>
            <w:r>
              <w:rPr>
                <w:rFonts w:hint="eastAsia" w:ascii="仿宋" w:hAnsi="仿宋" w:eastAsia="仿宋" w:cs="仿宋"/>
                <w:color w:val="auto"/>
                <w:position w:val="0"/>
                <w:sz w:val="24"/>
                <w:szCs w:val="24"/>
                <w:highlight w:val="none"/>
                <w:lang w:val="en-US" w:eastAsia="zh-CN"/>
              </w:rPr>
              <w:t>63</w:t>
            </w:r>
            <w:r>
              <w:rPr>
                <w:rFonts w:hint="eastAsia" w:ascii="仿宋" w:hAnsi="仿宋" w:eastAsia="仿宋" w:cs="仿宋"/>
                <w:color w:val="auto"/>
                <w:position w:val="0"/>
                <w:sz w:val="24"/>
                <w:szCs w:val="24"/>
                <w:highlight w:val="none"/>
              </w:rPr>
              <w:t>家</w:t>
            </w:r>
            <w:r>
              <w:rPr>
                <w:rFonts w:hint="eastAsia" w:ascii="仿宋" w:hAnsi="仿宋" w:eastAsia="仿宋" w:cs="仿宋"/>
                <w:color w:val="auto"/>
                <w:position w:val="0"/>
                <w:sz w:val="24"/>
                <w:szCs w:val="24"/>
                <w:highlight w:val="none"/>
                <w:lang w:eastAsia="zh-CN"/>
              </w:rPr>
              <w:t>）</w:t>
            </w:r>
            <w:r>
              <w:rPr>
                <w:rFonts w:hint="eastAsia" w:ascii="仿宋" w:hAnsi="仿宋" w:eastAsia="仿宋" w:cs="仿宋"/>
                <w:color w:val="auto"/>
                <w:position w:val="0"/>
                <w:sz w:val="24"/>
                <w:szCs w:val="24"/>
                <w:highlight w:val="none"/>
              </w:rPr>
              <w:t>名录库中</w:t>
            </w:r>
            <w:r>
              <w:rPr>
                <w:rFonts w:hint="eastAsia" w:ascii="仿宋" w:hAnsi="仿宋" w:eastAsia="仿宋" w:cs="仿宋"/>
                <w:color w:val="auto"/>
                <w:position w:val="0"/>
                <w:sz w:val="24"/>
                <w:szCs w:val="24"/>
                <w:highlight w:val="none"/>
                <w:lang w:eastAsia="zh-CN"/>
              </w:rPr>
              <w:t>，</w:t>
            </w:r>
            <w:r>
              <w:rPr>
                <w:rFonts w:hint="eastAsia" w:ascii="仿宋" w:hAnsi="仿宋" w:eastAsia="仿宋" w:cs="仿宋"/>
                <w:color w:val="auto"/>
                <w:position w:val="0"/>
                <w:sz w:val="24"/>
                <w:szCs w:val="24"/>
                <w:highlight w:val="none"/>
                <w:lang w:val="en-US" w:eastAsia="zh-CN"/>
              </w:rPr>
              <w:t>县水利局按照7</w:t>
            </w:r>
            <w:r>
              <w:rPr>
                <w:rFonts w:hint="eastAsia" w:ascii="仿宋" w:hAnsi="仿宋" w:eastAsia="仿宋" w:cs="仿宋"/>
                <w:color w:val="auto"/>
                <w:position w:val="0"/>
                <w:sz w:val="24"/>
                <w:szCs w:val="24"/>
                <w:highlight w:val="none"/>
              </w:rPr>
              <w:t>%</w:t>
            </w:r>
            <w:r>
              <w:rPr>
                <w:rFonts w:hint="eastAsia" w:ascii="仿宋" w:hAnsi="仿宋" w:eastAsia="仿宋" w:cs="仿宋"/>
                <w:color w:val="auto"/>
                <w:position w:val="0"/>
                <w:sz w:val="24"/>
                <w:szCs w:val="24"/>
                <w:highlight w:val="none"/>
                <w:lang w:val="en-US" w:eastAsia="zh-CN"/>
              </w:rPr>
              <w:t>的</w:t>
            </w:r>
            <w:r>
              <w:rPr>
                <w:rFonts w:hint="eastAsia" w:ascii="仿宋" w:hAnsi="仿宋" w:eastAsia="仿宋" w:cs="仿宋"/>
                <w:color w:val="auto"/>
                <w:position w:val="0"/>
                <w:sz w:val="24"/>
                <w:szCs w:val="24"/>
                <w:highlight w:val="none"/>
              </w:rPr>
              <w:t>比例随机抽取</w:t>
            </w:r>
            <w:r>
              <w:rPr>
                <w:rFonts w:hint="eastAsia" w:ascii="仿宋" w:hAnsi="仿宋" w:eastAsia="仿宋" w:cs="仿宋"/>
                <w:color w:val="auto"/>
                <w:position w:val="0"/>
                <w:sz w:val="24"/>
                <w:szCs w:val="24"/>
                <w:highlight w:val="none"/>
                <w:lang w:val="en-US" w:eastAsia="zh-CN"/>
              </w:rPr>
              <w:t>4</w:t>
            </w:r>
            <w:r>
              <w:rPr>
                <w:rFonts w:hint="eastAsia" w:ascii="仿宋" w:hAnsi="仿宋" w:eastAsia="仿宋" w:cs="仿宋"/>
                <w:color w:val="auto"/>
                <w:position w:val="0"/>
                <w:sz w:val="24"/>
                <w:szCs w:val="24"/>
                <w:highlight w:val="none"/>
              </w:rPr>
              <w:t>家</w:t>
            </w:r>
            <w:r>
              <w:rPr>
                <w:rFonts w:hint="eastAsia" w:ascii="仿宋" w:hAnsi="仿宋" w:eastAsia="仿宋" w:cs="仿宋"/>
                <w:color w:val="auto"/>
                <w:position w:val="0"/>
                <w:sz w:val="24"/>
                <w:szCs w:val="24"/>
                <w:highlight w:val="none"/>
                <w:lang w:eastAsia="zh-CN"/>
              </w:rPr>
              <w:t>。</w:t>
            </w:r>
          </w:p>
        </w:tc>
        <w:tc>
          <w:tcPr>
            <w:tcW w:w="2544" w:type="dxa"/>
            <w:tcBorders>
              <w:tl2br w:val="nil"/>
              <w:tr2bl w:val="nil"/>
            </w:tcBorders>
            <w:noWrap/>
            <w:vAlign w:val="center"/>
          </w:tcPr>
          <w:p w14:paraId="338D68A5">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auto"/>
                <w:position w:val="0"/>
                <w:sz w:val="24"/>
                <w:szCs w:val="24"/>
                <w:highlight w:val="none"/>
              </w:rPr>
              <w:t>各类市场主体是否违反《中华人民共和国水法</w:t>
            </w:r>
            <w:r>
              <w:rPr>
                <w:rFonts w:hint="eastAsia" w:ascii="仿宋" w:hAnsi="仿宋" w:eastAsia="仿宋" w:cs="仿宋"/>
                <w:color w:val="auto"/>
                <w:position w:val="0"/>
                <w:sz w:val="24"/>
                <w:szCs w:val="24"/>
                <w:highlight w:val="none"/>
                <w:lang w:eastAsia="zh-CN"/>
              </w:rPr>
              <w:t>》《</w:t>
            </w:r>
            <w:r>
              <w:rPr>
                <w:rFonts w:hint="eastAsia" w:ascii="仿宋" w:hAnsi="仿宋" w:eastAsia="仿宋" w:cs="仿宋"/>
                <w:color w:val="auto"/>
                <w:position w:val="0"/>
                <w:sz w:val="24"/>
                <w:szCs w:val="24"/>
                <w:highlight w:val="none"/>
              </w:rPr>
              <w:t>辽宁省取水许可和水资源费征收管理实施办法</w:t>
            </w:r>
            <w:r>
              <w:rPr>
                <w:rFonts w:hint="eastAsia" w:ascii="仿宋" w:hAnsi="仿宋" w:eastAsia="仿宋" w:cs="仿宋"/>
                <w:color w:val="auto"/>
                <w:position w:val="0"/>
                <w:sz w:val="24"/>
                <w:szCs w:val="24"/>
                <w:highlight w:val="none"/>
                <w:lang w:eastAsia="zh-CN"/>
              </w:rPr>
              <w:t>》等法律法规。</w:t>
            </w:r>
          </w:p>
        </w:tc>
        <w:tc>
          <w:tcPr>
            <w:tcW w:w="3168" w:type="dxa"/>
            <w:tcBorders>
              <w:tl2br w:val="nil"/>
              <w:tr2bl w:val="nil"/>
            </w:tcBorders>
            <w:noWrap/>
            <w:vAlign w:val="center"/>
          </w:tcPr>
          <w:p w14:paraId="26BF42F0">
            <w:pPr>
              <w:keepNext w:val="0"/>
              <w:keepLines w:val="0"/>
              <w:pageBreakBefore w:val="0"/>
              <w:widowControl w:val="0"/>
              <w:numPr>
                <w:ilvl w:val="0"/>
                <w:numId w:val="0"/>
              </w:numPr>
              <w:kinsoku/>
              <w:wordWrap/>
              <w:overflowPunct/>
              <w:topLinePunct w:val="0"/>
              <w:autoSpaceDE/>
              <w:autoSpaceDN/>
              <w:bidi w:val="0"/>
              <w:adjustRightInd/>
              <w:snapToGrid w:val="0"/>
              <w:spacing w:before="0" w:line="340" w:lineRule="exact"/>
              <w:ind w:right="0" w:firstLine="0"/>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auto"/>
                <w:position w:val="0"/>
                <w:sz w:val="24"/>
                <w:szCs w:val="24"/>
                <w:highlight w:val="none"/>
              </w:rPr>
              <w:t>《中华人民共和国水法》第五十九条</w:t>
            </w:r>
            <w:r>
              <w:rPr>
                <w:rFonts w:hint="eastAsia" w:ascii="仿宋" w:hAnsi="仿宋" w:eastAsia="仿宋" w:cs="仿宋"/>
                <w:color w:val="auto"/>
                <w:position w:val="0"/>
                <w:sz w:val="24"/>
                <w:szCs w:val="24"/>
                <w:highlight w:val="none"/>
                <w:lang w:eastAsia="zh-CN"/>
              </w:rPr>
              <w:t>；</w:t>
            </w:r>
            <w:r>
              <w:rPr>
                <w:rFonts w:hint="eastAsia" w:ascii="仿宋" w:hAnsi="仿宋" w:eastAsia="仿宋" w:cs="仿宋"/>
                <w:color w:val="auto"/>
                <w:position w:val="0"/>
                <w:sz w:val="24"/>
                <w:szCs w:val="24"/>
                <w:highlight w:val="none"/>
              </w:rPr>
              <w:t>《辽宁省取水许可和水资源费征收管理实施办法》第三十条</w:t>
            </w:r>
            <w:r>
              <w:rPr>
                <w:rFonts w:hint="eastAsia" w:ascii="仿宋" w:hAnsi="仿宋" w:eastAsia="仿宋" w:cs="仿宋"/>
                <w:color w:val="000000"/>
                <w:kern w:val="0"/>
                <w:sz w:val="24"/>
                <w:szCs w:val="24"/>
                <w:highlight w:val="none"/>
                <w:lang w:val="en-US" w:eastAsia="zh-CN"/>
              </w:rPr>
              <w:t>等</w:t>
            </w:r>
            <w:r>
              <w:rPr>
                <w:rFonts w:hint="eastAsia" w:ascii="仿宋" w:hAnsi="仿宋" w:eastAsia="仿宋" w:cs="仿宋"/>
                <w:sz w:val="24"/>
                <w:szCs w:val="24"/>
                <w:highlight w:val="none"/>
              </w:rPr>
              <w:t>相应的法律、法规、规章。</w:t>
            </w:r>
          </w:p>
        </w:tc>
        <w:tc>
          <w:tcPr>
            <w:tcW w:w="1752" w:type="dxa"/>
            <w:tcBorders>
              <w:tl2br w:val="nil"/>
              <w:tr2bl w:val="nil"/>
            </w:tcBorders>
            <w:noWrap/>
            <w:vAlign w:val="center"/>
          </w:tcPr>
          <w:p w14:paraId="501DBF49">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auto"/>
                <w:position w:val="0"/>
                <w:sz w:val="24"/>
                <w:szCs w:val="24"/>
                <w:highlight w:val="none"/>
              </w:rPr>
              <w:t>第</w:t>
            </w:r>
            <w:r>
              <w:rPr>
                <w:rFonts w:hint="eastAsia" w:ascii="仿宋" w:hAnsi="仿宋" w:eastAsia="仿宋" w:cs="仿宋"/>
                <w:color w:val="auto"/>
                <w:position w:val="0"/>
                <w:sz w:val="24"/>
                <w:szCs w:val="24"/>
                <w:highlight w:val="none"/>
                <w:lang w:val="en-US" w:eastAsia="zh-CN"/>
              </w:rPr>
              <w:t>三</w:t>
            </w:r>
            <w:r>
              <w:rPr>
                <w:rFonts w:hint="eastAsia" w:ascii="仿宋" w:hAnsi="仿宋" w:eastAsia="仿宋" w:cs="仿宋"/>
                <w:color w:val="auto"/>
                <w:position w:val="0"/>
                <w:sz w:val="24"/>
                <w:szCs w:val="24"/>
                <w:highlight w:val="none"/>
              </w:rPr>
              <w:t>季度</w:t>
            </w:r>
            <w:r>
              <w:rPr>
                <w:rFonts w:hint="eastAsia" w:ascii="仿宋" w:hAnsi="仿宋" w:eastAsia="仿宋" w:cs="仿宋"/>
                <w:color w:val="auto"/>
                <w:position w:val="0"/>
                <w:sz w:val="24"/>
                <w:szCs w:val="24"/>
                <w:highlight w:val="none"/>
                <w:lang w:val="en-US" w:eastAsia="zh-CN"/>
              </w:rPr>
              <w:t>4</w:t>
            </w:r>
            <w:r>
              <w:rPr>
                <w:rFonts w:hint="eastAsia" w:ascii="仿宋" w:hAnsi="仿宋" w:eastAsia="仿宋" w:cs="仿宋"/>
                <w:color w:val="auto"/>
                <w:position w:val="0"/>
                <w:sz w:val="24"/>
                <w:szCs w:val="24"/>
                <w:highlight w:val="none"/>
              </w:rPr>
              <w:t>家</w:t>
            </w:r>
          </w:p>
        </w:tc>
        <w:tc>
          <w:tcPr>
            <w:tcW w:w="1307" w:type="dxa"/>
            <w:tcBorders>
              <w:tl2br w:val="nil"/>
              <w:tr2bl w:val="nil"/>
            </w:tcBorders>
            <w:noWrap/>
            <w:vAlign w:val="center"/>
          </w:tcPr>
          <w:p w14:paraId="55B8AD3B">
            <w:pPr>
              <w:keepNext w:val="0"/>
              <w:keepLines w:val="0"/>
              <w:pageBreakBefore w:val="0"/>
              <w:numPr>
                <w:ilvl w:val="0"/>
                <w:numId w:val="0"/>
              </w:numPr>
              <w:kinsoku/>
              <w:wordWrap/>
              <w:overflowPunct/>
              <w:topLinePunct w:val="0"/>
              <w:autoSpaceDE/>
              <w:autoSpaceDN/>
              <w:bidi w:val="0"/>
              <w:adjustRightInd/>
              <w:snapToGrid w:val="0"/>
              <w:spacing w:before="0" w:line="340" w:lineRule="exact"/>
              <w:ind w:right="0" w:firstLine="0"/>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position w:val="0"/>
                <w:sz w:val="24"/>
                <w:szCs w:val="24"/>
                <w:highlight w:val="none"/>
              </w:rPr>
              <w:t>现场查验</w:t>
            </w:r>
            <w:r>
              <w:rPr>
                <w:rFonts w:hint="eastAsia" w:ascii="仿宋" w:hAnsi="仿宋" w:eastAsia="仿宋" w:cs="仿宋"/>
                <w:color w:val="000000"/>
                <w:position w:val="0"/>
                <w:sz w:val="24"/>
                <w:szCs w:val="24"/>
                <w:highlight w:val="none"/>
                <w:lang w:eastAsia="zh-CN"/>
              </w:rPr>
              <w:t>、</w:t>
            </w:r>
            <w:r>
              <w:rPr>
                <w:rFonts w:hint="eastAsia" w:ascii="仿宋" w:hAnsi="仿宋" w:eastAsia="仿宋" w:cs="仿宋"/>
                <w:color w:val="auto"/>
                <w:position w:val="0"/>
                <w:sz w:val="24"/>
                <w:szCs w:val="24"/>
                <w:highlight w:val="none"/>
              </w:rPr>
              <w:t>检验</w:t>
            </w:r>
          </w:p>
        </w:tc>
        <w:tc>
          <w:tcPr>
            <w:tcW w:w="1472" w:type="dxa"/>
            <w:tcBorders>
              <w:tl2br w:val="nil"/>
              <w:tr2bl w:val="nil"/>
            </w:tcBorders>
            <w:noWrap/>
            <w:vAlign w:val="center"/>
          </w:tcPr>
          <w:p w14:paraId="03CA5FD6">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rPr>
            </w:pPr>
          </w:p>
        </w:tc>
      </w:tr>
      <w:tr w14:paraId="276C7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32D7A36E">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14</w:t>
            </w:r>
          </w:p>
        </w:tc>
        <w:tc>
          <w:tcPr>
            <w:tcW w:w="1356" w:type="dxa"/>
            <w:tcBorders>
              <w:tl2br w:val="nil"/>
              <w:tr2bl w:val="nil"/>
            </w:tcBorders>
            <w:noWrap/>
            <w:vAlign w:val="center"/>
          </w:tcPr>
          <w:p w14:paraId="3DFADCF3">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eastAsia="zh-CN"/>
              </w:rPr>
              <w:t>彰武县卫生健康局</w:t>
            </w:r>
          </w:p>
        </w:tc>
        <w:tc>
          <w:tcPr>
            <w:tcW w:w="2136" w:type="dxa"/>
            <w:tcBorders>
              <w:tl2br w:val="nil"/>
              <w:tr2bl w:val="nil"/>
            </w:tcBorders>
            <w:noWrap/>
            <w:vAlign w:val="center"/>
          </w:tcPr>
          <w:p w14:paraId="35063052">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彰武县行政区划内（辽宁春潮汽车零部件股份有限公司）等68家市场主体名录库中，不超过20%比例抽取8家。</w:t>
            </w:r>
          </w:p>
        </w:tc>
        <w:tc>
          <w:tcPr>
            <w:tcW w:w="2544" w:type="dxa"/>
            <w:tcBorders>
              <w:tl2br w:val="nil"/>
              <w:tr2bl w:val="nil"/>
            </w:tcBorders>
            <w:noWrap/>
            <w:vAlign w:val="center"/>
          </w:tcPr>
          <w:p w14:paraId="16D67061">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建立、健全职业卫生管理制度和操作规程情况，建立、健全职业卫生档案和劳动者健康监护档案情况，建立、健全工作场所职业病危害因素监测及评价制度情况等。</w:t>
            </w:r>
          </w:p>
        </w:tc>
        <w:tc>
          <w:tcPr>
            <w:tcW w:w="3168" w:type="dxa"/>
            <w:tcBorders>
              <w:tl2br w:val="nil"/>
              <w:tr2bl w:val="nil"/>
            </w:tcBorders>
            <w:noWrap/>
            <w:vAlign w:val="center"/>
          </w:tcPr>
          <w:p w14:paraId="0F2FD091">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sz w:val="24"/>
                <w:szCs w:val="24"/>
                <w:highlight w:val="none"/>
              </w:rPr>
              <w:t>《中华人民共和国</w:t>
            </w:r>
            <w:r>
              <w:rPr>
                <w:rFonts w:hint="eastAsia" w:ascii="仿宋" w:hAnsi="仿宋" w:eastAsia="仿宋" w:cs="仿宋"/>
                <w:sz w:val="24"/>
                <w:szCs w:val="24"/>
                <w:highlight w:val="none"/>
                <w:lang w:eastAsia="zh-CN"/>
              </w:rPr>
              <w:t>职业病</w:t>
            </w:r>
            <w:r>
              <w:rPr>
                <w:rFonts w:hint="eastAsia" w:ascii="仿宋" w:hAnsi="仿宋" w:eastAsia="仿宋" w:cs="仿宋"/>
                <w:sz w:val="24"/>
                <w:szCs w:val="24"/>
                <w:highlight w:val="none"/>
              </w:rPr>
              <w:t>防治法</w:t>
            </w:r>
            <w:r>
              <w:rPr>
                <w:rFonts w:hint="eastAsia" w:ascii="仿宋" w:hAnsi="仿宋" w:eastAsia="仿宋" w:cs="仿宋"/>
                <w:sz w:val="24"/>
                <w:szCs w:val="24"/>
                <w:highlight w:val="none"/>
                <w:lang w:eastAsia="zh-CN"/>
              </w:rPr>
              <w:t>》第</w:t>
            </w:r>
            <w:r>
              <w:rPr>
                <w:rFonts w:hint="eastAsia" w:ascii="仿宋" w:hAnsi="仿宋" w:eastAsia="仿宋" w:cs="仿宋"/>
                <w:sz w:val="24"/>
                <w:szCs w:val="24"/>
                <w:highlight w:val="none"/>
                <w:lang w:val="en-US" w:eastAsia="zh-CN"/>
              </w:rPr>
              <w:t>五十五条、第五十六条</w:t>
            </w:r>
            <w:r>
              <w:rPr>
                <w:rFonts w:hint="eastAsia" w:ascii="仿宋" w:hAnsi="仿宋" w:eastAsia="仿宋" w:cs="仿宋"/>
                <w:sz w:val="24"/>
                <w:szCs w:val="24"/>
                <w:highlight w:val="none"/>
                <w:lang w:eastAsia="zh-CN"/>
              </w:rPr>
              <w:t>等相应的法律、法规、规章。</w:t>
            </w:r>
          </w:p>
        </w:tc>
        <w:tc>
          <w:tcPr>
            <w:tcW w:w="1752" w:type="dxa"/>
            <w:tcBorders>
              <w:tl2br w:val="nil"/>
              <w:tr2bl w:val="nil"/>
            </w:tcBorders>
            <w:noWrap/>
            <w:vAlign w:val="center"/>
          </w:tcPr>
          <w:p w14:paraId="4BB3D46C">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第一季度1家</w:t>
            </w:r>
          </w:p>
          <w:p w14:paraId="1E95C1C0">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第二季度3家</w:t>
            </w:r>
          </w:p>
          <w:p w14:paraId="24B27438">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第三季度2家</w:t>
            </w:r>
          </w:p>
          <w:p w14:paraId="200CDAF9">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第四季度2家</w:t>
            </w:r>
          </w:p>
        </w:tc>
        <w:tc>
          <w:tcPr>
            <w:tcW w:w="1307" w:type="dxa"/>
            <w:tcBorders>
              <w:tl2br w:val="nil"/>
              <w:tr2bl w:val="nil"/>
            </w:tcBorders>
            <w:noWrap/>
            <w:vAlign w:val="center"/>
          </w:tcPr>
          <w:p w14:paraId="39EC167B">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sz w:val="24"/>
                <w:szCs w:val="24"/>
                <w:highlight w:val="none"/>
              </w:rPr>
              <w:t>现场调阅审查</w:t>
            </w:r>
          </w:p>
        </w:tc>
        <w:tc>
          <w:tcPr>
            <w:tcW w:w="1472" w:type="dxa"/>
            <w:tcBorders>
              <w:tl2br w:val="nil"/>
              <w:tr2bl w:val="nil"/>
            </w:tcBorders>
            <w:noWrap/>
            <w:vAlign w:val="center"/>
          </w:tcPr>
          <w:p w14:paraId="37538A62">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rPr>
            </w:pPr>
          </w:p>
        </w:tc>
      </w:tr>
      <w:tr w14:paraId="77D26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4CCFF17E">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15</w:t>
            </w:r>
          </w:p>
        </w:tc>
        <w:tc>
          <w:tcPr>
            <w:tcW w:w="1356" w:type="dxa"/>
            <w:tcBorders>
              <w:tl2br w:val="nil"/>
              <w:tr2bl w:val="nil"/>
            </w:tcBorders>
            <w:shd w:val="clear" w:color="auto" w:fill="auto"/>
            <w:noWrap/>
            <w:vAlign w:val="center"/>
          </w:tcPr>
          <w:p w14:paraId="5D2E607D">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彰武县卫生健康局</w:t>
            </w:r>
          </w:p>
        </w:tc>
        <w:tc>
          <w:tcPr>
            <w:tcW w:w="2136" w:type="dxa"/>
            <w:tcBorders>
              <w:tl2br w:val="nil"/>
              <w:tr2bl w:val="nil"/>
            </w:tcBorders>
            <w:shd w:val="clear" w:color="auto" w:fill="auto"/>
            <w:noWrap/>
            <w:vAlign w:val="center"/>
          </w:tcPr>
          <w:p w14:paraId="0DB085DB">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bidi="ar-SA"/>
              </w:rPr>
              <w:t>彰武县行政区划内</w:t>
            </w:r>
            <w:r>
              <w:rPr>
                <w:rFonts w:hint="eastAsia" w:ascii="仿宋" w:hAnsi="仿宋" w:eastAsia="仿宋" w:cs="仿宋"/>
                <w:color w:val="000000"/>
                <w:kern w:val="0"/>
                <w:sz w:val="24"/>
                <w:szCs w:val="24"/>
                <w:highlight w:val="none"/>
                <w:lang w:val="en-US" w:eastAsia="zh-CN"/>
              </w:rPr>
              <w:t>38家市场主体名录库中，不超过20%比例抽取6家。</w:t>
            </w:r>
          </w:p>
        </w:tc>
        <w:tc>
          <w:tcPr>
            <w:tcW w:w="2544" w:type="dxa"/>
            <w:tcBorders>
              <w:tl2br w:val="nil"/>
              <w:tr2bl w:val="nil"/>
            </w:tcBorders>
            <w:shd w:val="clear" w:color="auto" w:fill="auto"/>
            <w:noWrap/>
            <w:vAlign w:val="center"/>
          </w:tcPr>
          <w:p w14:paraId="77D6492E">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《卫生许可证》、健康证、检测报告及相关制度、控烟请情况。</w:t>
            </w:r>
          </w:p>
        </w:tc>
        <w:tc>
          <w:tcPr>
            <w:tcW w:w="3168" w:type="dxa"/>
            <w:tcBorders>
              <w:tl2br w:val="nil"/>
              <w:tr2bl w:val="nil"/>
            </w:tcBorders>
            <w:shd w:val="clear" w:color="auto" w:fill="auto"/>
            <w:noWrap/>
            <w:vAlign w:val="center"/>
          </w:tcPr>
          <w:p w14:paraId="385B8ED7">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《公共场所卫生管理条例》第十三条，《公共场所卫生管理条例实施细则》第三十一条等相应的法律、法规、规章。</w:t>
            </w:r>
          </w:p>
        </w:tc>
        <w:tc>
          <w:tcPr>
            <w:tcW w:w="1752" w:type="dxa"/>
            <w:tcBorders>
              <w:tl2br w:val="nil"/>
              <w:tr2bl w:val="nil"/>
            </w:tcBorders>
            <w:shd w:val="clear" w:color="auto" w:fill="auto"/>
            <w:noWrap/>
            <w:vAlign w:val="center"/>
          </w:tcPr>
          <w:p w14:paraId="0B866100">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第一季度1家</w:t>
            </w:r>
          </w:p>
          <w:p w14:paraId="74B46BD4">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第二季度2家</w:t>
            </w:r>
          </w:p>
          <w:p w14:paraId="50D74DA9">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第三季度2家</w:t>
            </w:r>
          </w:p>
          <w:p w14:paraId="5030B712">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第四季度1家</w:t>
            </w:r>
          </w:p>
        </w:tc>
        <w:tc>
          <w:tcPr>
            <w:tcW w:w="1307" w:type="dxa"/>
            <w:tcBorders>
              <w:tl2br w:val="nil"/>
              <w:tr2bl w:val="nil"/>
            </w:tcBorders>
            <w:shd w:val="clear" w:color="auto" w:fill="auto"/>
            <w:noWrap/>
            <w:vAlign w:val="center"/>
          </w:tcPr>
          <w:p w14:paraId="22A73F64">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现场调阅审查</w:t>
            </w:r>
          </w:p>
        </w:tc>
        <w:tc>
          <w:tcPr>
            <w:tcW w:w="1472" w:type="dxa"/>
            <w:tcBorders>
              <w:tl2br w:val="nil"/>
              <w:tr2bl w:val="nil"/>
            </w:tcBorders>
            <w:shd w:val="clear" w:color="auto" w:fill="auto"/>
            <w:noWrap/>
            <w:vAlign w:val="center"/>
          </w:tcPr>
          <w:p w14:paraId="6A1E4C28">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彰武县文化旅游和广播电视局</w:t>
            </w:r>
          </w:p>
        </w:tc>
      </w:tr>
      <w:tr w14:paraId="6AA55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09301A57">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16</w:t>
            </w:r>
          </w:p>
        </w:tc>
        <w:tc>
          <w:tcPr>
            <w:tcW w:w="1356" w:type="dxa"/>
            <w:tcBorders>
              <w:tl2br w:val="nil"/>
              <w:tr2bl w:val="nil"/>
            </w:tcBorders>
            <w:noWrap/>
            <w:vAlign w:val="center"/>
          </w:tcPr>
          <w:p w14:paraId="17F9E05B">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彰武县</w:t>
            </w:r>
            <w:r>
              <w:rPr>
                <w:rFonts w:hint="eastAsia" w:ascii="仿宋" w:hAnsi="仿宋" w:eastAsia="仿宋" w:cs="仿宋"/>
                <w:color w:val="000000"/>
                <w:kern w:val="0"/>
                <w:sz w:val="24"/>
                <w:szCs w:val="24"/>
                <w:highlight w:val="none"/>
              </w:rPr>
              <w:t>文化旅游和广播电视局</w:t>
            </w:r>
          </w:p>
        </w:tc>
        <w:tc>
          <w:tcPr>
            <w:tcW w:w="2136" w:type="dxa"/>
            <w:tcBorders>
              <w:tl2br w:val="nil"/>
              <w:tr2bl w:val="nil"/>
            </w:tcBorders>
            <w:noWrap/>
            <w:vAlign w:val="center"/>
          </w:tcPr>
          <w:p w14:paraId="6F179249">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sz w:val="24"/>
                <w:szCs w:val="24"/>
                <w:highlight w:val="none"/>
              </w:rPr>
              <w:t>彰武县行政区划内互联网营业场所</w:t>
            </w:r>
            <w:r>
              <w:rPr>
                <w:rFonts w:hint="eastAsia" w:ascii="仿宋" w:hAnsi="仿宋" w:eastAsia="仿宋" w:cs="仿宋"/>
                <w:color w:val="000000"/>
                <w:sz w:val="24"/>
                <w:szCs w:val="24"/>
                <w:highlight w:val="none"/>
                <w:lang w:val="en-US" w:eastAsia="zh-CN"/>
              </w:rPr>
              <w:t>9</w:t>
            </w:r>
            <w:r>
              <w:rPr>
                <w:rFonts w:hint="eastAsia" w:ascii="仿宋" w:hAnsi="仿宋" w:eastAsia="仿宋" w:cs="仿宋"/>
                <w:color w:val="000000"/>
                <w:sz w:val="24"/>
                <w:szCs w:val="24"/>
                <w:highlight w:val="none"/>
              </w:rPr>
              <w:t>家文旅广电局市场主体</w:t>
            </w:r>
            <w:r>
              <w:rPr>
                <w:rFonts w:hint="eastAsia" w:ascii="仿宋" w:hAnsi="仿宋" w:eastAsia="仿宋" w:cs="仿宋"/>
                <w:color w:val="000000"/>
                <w:sz w:val="24"/>
                <w:szCs w:val="24"/>
                <w:highlight w:val="none"/>
                <w:lang w:val="en-US" w:eastAsia="zh-CN"/>
              </w:rPr>
              <w:t>名录</w:t>
            </w:r>
            <w:r>
              <w:rPr>
                <w:rFonts w:hint="eastAsia" w:ascii="仿宋" w:hAnsi="仿宋" w:eastAsia="仿宋" w:cs="仿宋"/>
                <w:color w:val="000000"/>
                <w:sz w:val="24"/>
                <w:szCs w:val="24"/>
                <w:highlight w:val="none"/>
              </w:rPr>
              <w:t>库中</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不超过</w:t>
            </w:r>
            <w:r>
              <w:rPr>
                <w:rFonts w:hint="eastAsia" w:ascii="仿宋" w:hAnsi="仿宋" w:eastAsia="仿宋" w:cs="仿宋"/>
                <w:color w:val="000000"/>
                <w:sz w:val="24"/>
                <w:szCs w:val="24"/>
                <w:highlight w:val="none"/>
              </w:rPr>
              <w:t>20%</w:t>
            </w:r>
            <w:r>
              <w:rPr>
                <w:rFonts w:hint="eastAsia" w:ascii="仿宋" w:hAnsi="仿宋" w:eastAsia="仿宋" w:cs="仿宋"/>
                <w:color w:val="000000"/>
                <w:sz w:val="24"/>
                <w:szCs w:val="24"/>
                <w:highlight w:val="none"/>
                <w:lang w:val="en-US" w:eastAsia="zh-CN"/>
              </w:rPr>
              <w:t>的</w:t>
            </w:r>
            <w:r>
              <w:rPr>
                <w:rFonts w:hint="eastAsia" w:ascii="仿宋" w:hAnsi="仿宋" w:eastAsia="仿宋" w:cs="仿宋"/>
                <w:color w:val="000000"/>
                <w:sz w:val="24"/>
                <w:szCs w:val="24"/>
                <w:highlight w:val="none"/>
              </w:rPr>
              <w:t>比例抽取</w:t>
            </w:r>
            <w:r>
              <w:rPr>
                <w:rFonts w:hint="eastAsia" w:ascii="仿宋" w:hAnsi="仿宋" w:eastAsia="仿宋" w:cs="仿宋"/>
                <w:color w:val="000000"/>
                <w:sz w:val="24"/>
                <w:szCs w:val="24"/>
                <w:highlight w:val="none"/>
                <w:lang w:val="en-US" w:eastAsia="zh-CN"/>
              </w:rPr>
              <w:t>1家。</w:t>
            </w:r>
          </w:p>
        </w:tc>
        <w:tc>
          <w:tcPr>
            <w:tcW w:w="2544" w:type="dxa"/>
            <w:tcBorders>
              <w:tl2br w:val="nil"/>
              <w:tr2bl w:val="nil"/>
            </w:tcBorders>
            <w:noWrap/>
            <w:vAlign w:val="center"/>
          </w:tcPr>
          <w:p w14:paraId="78F43771">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rPr>
              <w:t>1</w:t>
            </w:r>
            <w:r>
              <w:rPr>
                <w:rFonts w:hint="eastAsia" w:ascii="仿宋" w:hAnsi="仿宋" w:eastAsia="仿宋" w:cs="仿宋"/>
                <w:color w:val="000000"/>
                <w:kern w:val="0"/>
                <w:sz w:val="24"/>
                <w:szCs w:val="24"/>
                <w:highlight w:val="none"/>
                <w:lang w:val="en-US" w:eastAsia="zh-CN"/>
              </w:rPr>
              <w:t>.</w:t>
            </w:r>
            <w:r>
              <w:rPr>
                <w:rFonts w:hint="eastAsia" w:ascii="仿宋" w:hAnsi="仿宋" w:eastAsia="仿宋" w:cs="仿宋"/>
                <w:color w:val="000000"/>
                <w:kern w:val="0"/>
                <w:sz w:val="24"/>
                <w:szCs w:val="24"/>
                <w:highlight w:val="none"/>
              </w:rPr>
              <w:t>从</w:t>
            </w:r>
            <w:r>
              <w:rPr>
                <w:rFonts w:hint="eastAsia" w:ascii="仿宋" w:hAnsi="仿宋" w:eastAsia="仿宋" w:cs="仿宋"/>
                <w:color w:val="000000"/>
                <w:kern w:val="0"/>
                <w:sz w:val="24"/>
                <w:szCs w:val="24"/>
                <w:highlight w:val="none"/>
                <w:lang w:eastAsia="zh-CN"/>
              </w:rPr>
              <w:t>事互</w:t>
            </w:r>
            <w:r>
              <w:rPr>
                <w:rFonts w:hint="eastAsia" w:ascii="仿宋" w:hAnsi="仿宋" w:eastAsia="仿宋" w:cs="仿宋"/>
                <w:color w:val="000000"/>
                <w:kern w:val="0"/>
                <w:sz w:val="24"/>
                <w:szCs w:val="24"/>
                <w:highlight w:val="none"/>
              </w:rPr>
              <w:t>联网上网服务经营活动</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w:t>
            </w:r>
            <w:r>
              <w:rPr>
                <w:rFonts w:hint="eastAsia" w:ascii="仿宋" w:hAnsi="仿宋" w:eastAsia="仿宋" w:cs="仿宋"/>
                <w:color w:val="000000"/>
                <w:kern w:val="0"/>
                <w:sz w:val="24"/>
                <w:szCs w:val="24"/>
                <w:highlight w:val="none"/>
              </w:rPr>
              <w:t>是否涂改、出租出借或者其他形式转让《网络文化经营许可证》</w:t>
            </w:r>
            <w:r>
              <w:rPr>
                <w:rFonts w:hint="eastAsia" w:ascii="仿宋" w:hAnsi="仿宋" w:eastAsia="仿宋" w:cs="仿宋"/>
                <w:color w:val="000000"/>
                <w:kern w:val="0"/>
                <w:sz w:val="24"/>
                <w:szCs w:val="24"/>
                <w:highlight w:val="none"/>
                <w:lang w:val="en-US" w:eastAsia="zh-CN"/>
              </w:rPr>
              <w:t>等。</w:t>
            </w:r>
          </w:p>
        </w:tc>
        <w:tc>
          <w:tcPr>
            <w:tcW w:w="3168" w:type="dxa"/>
            <w:tcBorders>
              <w:tl2br w:val="nil"/>
              <w:tr2bl w:val="nil"/>
            </w:tcBorders>
            <w:noWrap/>
            <w:vAlign w:val="center"/>
          </w:tcPr>
          <w:p w14:paraId="634D8576">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sz w:val="24"/>
                <w:szCs w:val="24"/>
                <w:highlight w:val="none"/>
              </w:rPr>
              <w:t>《文化市场综合行政执法管理办法》</w:t>
            </w:r>
            <w:r>
              <w:rPr>
                <w:rFonts w:hint="eastAsia" w:ascii="仿宋" w:hAnsi="仿宋" w:eastAsia="仿宋" w:cs="仿宋"/>
                <w:color w:val="000000"/>
                <w:sz w:val="24"/>
                <w:szCs w:val="24"/>
                <w:highlight w:val="none"/>
                <w:lang w:val="en-US" w:eastAsia="zh-CN"/>
              </w:rPr>
              <w:t>第二条，</w:t>
            </w:r>
            <w:r>
              <w:rPr>
                <w:rFonts w:hint="eastAsia" w:ascii="仿宋" w:hAnsi="仿宋" w:eastAsia="仿宋" w:cs="仿宋"/>
                <w:color w:val="000000"/>
                <w:sz w:val="24"/>
                <w:szCs w:val="24"/>
                <w:highlight w:val="none"/>
              </w:rPr>
              <w:t>《互联网上网服务营业场所管理条例》第四条条等相应的法律、法规、规章。</w:t>
            </w:r>
          </w:p>
        </w:tc>
        <w:tc>
          <w:tcPr>
            <w:tcW w:w="1752" w:type="dxa"/>
            <w:tcBorders>
              <w:tl2br w:val="nil"/>
              <w:tr2bl w:val="nil"/>
            </w:tcBorders>
            <w:noWrap/>
            <w:vAlign w:val="center"/>
          </w:tcPr>
          <w:p w14:paraId="2BC768FE">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rPr>
              <w:t>第二季度1家</w:t>
            </w:r>
          </w:p>
        </w:tc>
        <w:tc>
          <w:tcPr>
            <w:tcW w:w="1307" w:type="dxa"/>
            <w:tcBorders>
              <w:tl2br w:val="nil"/>
              <w:tr2bl w:val="nil"/>
            </w:tcBorders>
            <w:noWrap/>
            <w:vAlign w:val="center"/>
          </w:tcPr>
          <w:p w14:paraId="492AC714">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现场检查</w:t>
            </w:r>
          </w:p>
        </w:tc>
        <w:tc>
          <w:tcPr>
            <w:tcW w:w="1472" w:type="dxa"/>
            <w:tcBorders>
              <w:tl2br w:val="nil"/>
              <w:tr2bl w:val="nil"/>
            </w:tcBorders>
            <w:noWrap/>
            <w:vAlign w:val="center"/>
          </w:tcPr>
          <w:p w14:paraId="2B62F7B1">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彰武县县卫生健康局</w:t>
            </w:r>
          </w:p>
        </w:tc>
      </w:tr>
      <w:tr w14:paraId="4F50E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5B0B41A3">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17</w:t>
            </w:r>
          </w:p>
        </w:tc>
        <w:tc>
          <w:tcPr>
            <w:tcW w:w="1356" w:type="dxa"/>
            <w:tcBorders>
              <w:tl2br w:val="nil"/>
              <w:tr2bl w:val="nil"/>
            </w:tcBorders>
            <w:shd w:val="clear" w:color="auto" w:fill="auto"/>
            <w:noWrap/>
            <w:vAlign w:val="center"/>
          </w:tcPr>
          <w:p w14:paraId="1FD0A2D3">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彰武县</w:t>
            </w:r>
            <w:r>
              <w:rPr>
                <w:rFonts w:hint="eastAsia" w:ascii="仿宋" w:hAnsi="仿宋" w:eastAsia="仿宋" w:cs="仿宋"/>
                <w:color w:val="000000"/>
                <w:kern w:val="0"/>
                <w:sz w:val="24"/>
                <w:szCs w:val="24"/>
                <w:highlight w:val="none"/>
              </w:rPr>
              <w:t>文化旅游和广播电视局</w:t>
            </w:r>
          </w:p>
        </w:tc>
        <w:tc>
          <w:tcPr>
            <w:tcW w:w="2136" w:type="dxa"/>
            <w:tcBorders>
              <w:tl2br w:val="nil"/>
              <w:tr2bl w:val="nil"/>
            </w:tcBorders>
            <w:shd w:val="clear" w:color="auto" w:fill="auto"/>
            <w:noWrap/>
            <w:vAlign w:val="center"/>
          </w:tcPr>
          <w:p w14:paraId="1AD54A1C">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sz w:val="24"/>
                <w:szCs w:val="24"/>
                <w:highlight w:val="none"/>
              </w:rPr>
              <w:t>彭武县行政区划内</w:t>
            </w:r>
            <w:r>
              <w:rPr>
                <w:rFonts w:hint="eastAsia" w:ascii="仿宋" w:hAnsi="仿宋" w:eastAsia="仿宋" w:cs="仿宋"/>
                <w:color w:val="000000"/>
                <w:sz w:val="24"/>
                <w:szCs w:val="24"/>
                <w:highlight w:val="none"/>
                <w:lang w:val="en-US" w:eastAsia="zh-CN"/>
              </w:rPr>
              <w:t>歌舞娱乐场所70</w:t>
            </w:r>
            <w:r>
              <w:rPr>
                <w:rFonts w:hint="eastAsia" w:ascii="仿宋" w:hAnsi="仿宋" w:eastAsia="仿宋" w:cs="仿宋"/>
                <w:color w:val="000000"/>
                <w:sz w:val="24"/>
                <w:szCs w:val="24"/>
                <w:highlight w:val="none"/>
              </w:rPr>
              <w:t>家文旅广电局市场主体</w:t>
            </w:r>
            <w:r>
              <w:rPr>
                <w:rFonts w:hint="eastAsia" w:ascii="仿宋" w:hAnsi="仿宋" w:eastAsia="仿宋" w:cs="仿宋"/>
                <w:color w:val="000000"/>
                <w:sz w:val="24"/>
                <w:szCs w:val="24"/>
                <w:highlight w:val="none"/>
                <w:lang w:val="en-US" w:eastAsia="zh-CN"/>
              </w:rPr>
              <w:t>名录</w:t>
            </w:r>
            <w:r>
              <w:rPr>
                <w:rFonts w:hint="eastAsia" w:ascii="仿宋" w:hAnsi="仿宋" w:eastAsia="仿宋" w:cs="仿宋"/>
                <w:color w:val="000000"/>
                <w:sz w:val="24"/>
                <w:szCs w:val="24"/>
                <w:highlight w:val="none"/>
              </w:rPr>
              <w:t>库中</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不超过</w:t>
            </w:r>
            <w:r>
              <w:rPr>
                <w:rFonts w:hint="eastAsia" w:ascii="仿宋" w:hAnsi="仿宋" w:eastAsia="仿宋" w:cs="仿宋"/>
                <w:color w:val="000000"/>
                <w:sz w:val="24"/>
                <w:szCs w:val="24"/>
                <w:highlight w:val="none"/>
              </w:rPr>
              <w:t>20%</w:t>
            </w:r>
            <w:r>
              <w:rPr>
                <w:rFonts w:hint="eastAsia" w:ascii="仿宋" w:hAnsi="仿宋" w:eastAsia="仿宋" w:cs="仿宋"/>
                <w:color w:val="000000"/>
                <w:sz w:val="24"/>
                <w:szCs w:val="24"/>
                <w:highlight w:val="none"/>
                <w:lang w:val="en-US" w:eastAsia="zh-CN"/>
              </w:rPr>
              <w:t>的</w:t>
            </w:r>
            <w:r>
              <w:rPr>
                <w:rFonts w:hint="eastAsia" w:ascii="仿宋" w:hAnsi="仿宋" w:eastAsia="仿宋" w:cs="仿宋"/>
                <w:color w:val="000000"/>
                <w:sz w:val="24"/>
                <w:szCs w:val="24"/>
                <w:highlight w:val="none"/>
              </w:rPr>
              <w:t>比例抽取</w:t>
            </w:r>
            <w:r>
              <w:rPr>
                <w:rFonts w:hint="eastAsia" w:ascii="仿宋" w:hAnsi="仿宋" w:eastAsia="仿宋" w:cs="仿宋"/>
                <w:color w:val="000000"/>
                <w:sz w:val="24"/>
                <w:szCs w:val="24"/>
                <w:highlight w:val="none"/>
                <w:lang w:val="en-US" w:eastAsia="zh-CN"/>
              </w:rPr>
              <w:t>1家。</w:t>
            </w:r>
          </w:p>
        </w:tc>
        <w:tc>
          <w:tcPr>
            <w:tcW w:w="2544" w:type="dxa"/>
            <w:tcBorders>
              <w:tl2br w:val="nil"/>
              <w:tr2bl w:val="nil"/>
            </w:tcBorders>
            <w:shd w:val="clear" w:color="auto" w:fill="auto"/>
            <w:noWrap/>
            <w:vAlign w:val="center"/>
          </w:tcPr>
          <w:p w14:paraId="6A04C814">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default"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是否存在允许未成年人进入娱乐场所等违法行为。</w:t>
            </w:r>
          </w:p>
        </w:tc>
        <w:tc>
          <w:tcPr>
            <w:tcW w:w="3168" w:type="dxa"/>
            <w:tcBorders>
              <w:tl2br w:val="nil"/>
              <w:tr2bl w:val="nil"/>
            </w:tcBorders>
            <w:shd w:val="clear" w:color="auto" w:fill="auto"/>
            <w:noWrap/>
            <w:vAlign w:val="center"/>
          </w:tcPr>
          <w:p w14:paraId="4442912F">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《娱乐场所管理条例》第第四条等相应的法律、法规、规章。</w:t>
            </w:r>
          </w:p>
        </w:tc>
        <w:tc>
          <w:tcPr>
            <w:tcW w:w="1752" w:type="dxa"/>
            <w:tcBorders>
              <w:tl2br w:val="nil"/>
              <w:tr2bl w:val="nil"/>
            </w:tcBorders>
            <w:shd w:val="clear" w:color="auto" w:fill="auto"/>
            <w:noWrap/>
            <w:vAlign w:val="center"/>
          </w:tcPr>
          <w:p w14:paraId="352D485A">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第二季度</w:t>
            </w:r>
            <w:r>
              <w:rPr>
                <w:rFonts w:hint="eastAsia" w:ascii="仿宋" w:hAnsi="仿宋" w:eastAsia="仿宋" w:cs="仿宋"/>
                <w:color w:val="000000"/>
                <w:kern w:val="0"/>
                <w:sz w:val="24"/>
                <w:szCs w:val="24"/>
                <w:highlight w:val="none"/>
                <w:lang w:val="en-US" w:eastAsia="zh-CN"/>
              </w:rPr>
              <w:t>4</w:t>
            </w:r>
            <w:r>
              <w:rPr>
                <w:rFonts w:hint="eastAsia" w:ascii="仿宋" w:hAnsi="仿宋" w:eastAsia="仿宋" w:cs="仿宋"/>
                <w:color w:val="000000"/>
                <w:kern w:val="0"/>
                <w:sz w:val="24"/>
                <w:szCs w:val="24"/>
                <w:highlight w:val="none"/>
              </w:rPr>
              <w:t>家</w:t>
            </w:r>
          </w:p>
          <w:p w14:paraId="73C90B39">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rPr>
              <w:t>第三季度</w:t>
            </w:r>
            <w:r>
              <w:rPr>
                <w:rFonts w:hint="eastAsia" w:ascii="仿宋" w:hAnsi="仿宋" w:eastAsia="仿宋" w:cs="仿宋"/>
                <w:color w:val="000000"/>
                <w:kern w:val="0"/>
                <w:sz w:val="24"/>
                <w:szCs w:val="24"/>
                <w:highlight w:val="none"/>
                <w:lang w:val="en-US" w:eastAsia="zh-CN"/>
              </w:rPr>
              <w:t>4</w:t>
            </w:r>
            <w:r>
              <w:rPr>
                <w:rFonts w:hint="eastAsia" w:ascii="仿宋" w:hAnsi="仿宋" w:eastAsia="仿宋" w:cs="仿宋"/>
                <w:color w:val="000000"/>
                <w:kern w:val="0"/>
                <w:sz w:val="24"/>
                <w:szCs w:val="24"/>
                <w:highlight w:val="none"/>
              </w:rPr>
              <w:t>家</w:t>
            </w:r>
          </w:p>
        </w:tc>
        <w:tc>
          <w:tcPr>
            <w:tcW w:w="1307" w:type="dxa"/>
            <w:tcBorders>
              <w:tl2br w:val="nil"/>
              <w:tr2bl w:val="nil"/>
            </w:tcBorders>
            <w:shd w:val="clear" w:color="auto" w:fill="auto"/>
            <w:noWrap/>
            <w:vAlign w:val="center"/>
          </w:tcPr>
          <w:p w14:paraId="70B81C1E">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现场检查</w:t>
            </w:r>
          </w:p>
        </w:tc>
        <w:tc>
          <w:tcPr>
            <w:tcW w:w="1472" w:type="dxa"/>
            <w:tcBorders>
              <w:tl2br w:val="nil"/>
              <w:tr2bl w:val="nil"/>
            </w:tcBorders>
            <w:shd w:val="clear" w:color="auto" w:fill="auto"/>
            <w:noWrap/>
            <w:vAlign w:val="center"/>
          </w:tcPr>
          <w:p w14:paraId="0F0BA77B">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彰武县卫生健康局</w:t>
            </w:r>
          </w:p>
          <w:p w14:paraId="532044F5">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彰武县公安局</w:t>
            </w:r>
          </w:p>
        </w:tc>
      </w:tr>
      <w:tr w14:paraId="05259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shd w:val="clear" w:color="auto" w:fill="auto"/>
            <w:noWrap/>
            <w:vAlign w:val="center"/>
          </w:tcPr>
          <w:p w14:paraId="0C9862F5">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18</w:t>
            </w:r>
          </w:p>
        </w:tc>
        <w:tc>
          <w:tcPr>
            <w:tcW w:w="1356" w:type="dxa"/>
            <w:tcBorders>
              <w:tl2br w:val="nil"/>
              <w:tr2bl w:val="nil"/>
            </w:tcBorders>
            <w:shd w:val="clear" w:color="auto" w:fill="auto"/>
            <w:noWrap/>
            <w:vAlign w:val="center"/>
          </w:tcPr>
          <w:p w14:paraId="67A15A64">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彰武县文化旅游和广播电视局</w:t>
            </w:r>
          </w:p>
        </w:tc>
        <w:tc>
          <w:tcPr>
            <w:tcW w:w="2136" w:type="dxa"/>
            <w:tcBorders>
              <w:tl2br w:val="nil"/>
              <w:tr2bl w:val="nil"/>
            </w:tcBorders>
            <w:shd w:val="clear" w:color="auto" w:fill="auto"/>
            <w:noWrap/>
            <w:vAlign w:val="top"/>
          </w:tcPr>
          <w:p w14:paraId="5599187C">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彭武县行政区划内旅行社7家文旅广电局市场主体名录库中</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不超过</w:t>
            </w:r>
            <w:r>
              <w:rPr>
                <w:rFonts w:hint="eastAsia" w:ascii="仿宋" w:hAnsi="仿宋" w:eastAsia="仿宋" w:cs="仿宋"/>
                <w:color w:val="000000"/>
                <w:sz w:val="24"/>
                <w:szCs w:val="24"/>
                <w:highlight w:val="none"/>
              </w:rPr>
              <w:t>20%</w:t>
            </w:r>
            <w:r>
              <w:rPr>
                <w:rFonts w:hint="eastAsia" w:ascii="仿宋" w:hAnsi="仿宋" w:eastAsia="仿宋" w:cs="仿宋"/>
                <w:color w:val="000000"/>
                <w:sz w:val="24"/>
                <w:szCs w:val="24"/>
                <w:highlight w:val="none"/>
                <w:lang w:val="en-US" w:eastAsia="zh-CN"/>
              </w:rPr>
              <w:t>的</w:t>
            </w:r>
            <w:r>
              <w:rPr>
                <w:rFonts w:hint="eastAsia" w:ascii="仿宋" w:hAnsi="仿宋" w:eastAsia="仿宋" w:cs="仿宋"/>
                <w:color w:val="000000"/>
                <w:sz w:val="24"/>
                <w:szCs w:val="24"/>
                <w:highlight w:val="none"/>
              </w:rPr>
              <w:t>比例抽取</w:t>
            </w:r>
            <w:r>
              <w:rPr>
                <w:rFonts w:hint="eastAsia" w:ascii="仿宋" w:hAnsi="仿宋" w:eastAsia="仿宋" w:cs="仿宋"/>
                <w:color w:val="000000"/>
                <w:sz w:val="24"/>
                <w:szCs w:val="24"/>
                <w:highlight w:val="none"/>
                <w:lang w:val="en-US" w:eastAsia="zh-CN"/>
              </w:rPr>
              <w:t>1家。</w:t>
            </w:r>
          </w:p>
        </w:tc>
        <w:tc>
          <w:tcPr>
            <w:tcW w:w="2544" w:type="dxa"/>
            <w:tcBorders>
              <w:tl2br w:val="nil"/>
              <w:tr2bl w:val="nil"/>
            </w:tcBorders>
            <w:shd w:val="clear" w:color="auto" w:fill="auto"/>
            <w:noWrap/>
            <w:vAlign w:val="center"/>
          </w:tcPr>
          <w:p w14:paraId="1A04859F">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default"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是否存在出租出借经营许可等违法行为。</w:t>
            </w:r>
          </w:p>
        </w:tc>
        <w:tc>
          <w:tcPr>
            <w:tcW w:w="3168" w:type="dxa"/>
            <w:tcBorders>
              <w:tl2br w:val="nil"/>
              <w:tr2bl w:val="nil"/>
            </w:tcBorders>
            <w:shd w:val="clear" w:color="auto" w:fill="auto"/>
            <w:noWrap/>
            <w:vAlign w:val="center"/>
          </w:tcPr>
          <w:p w14:paraId="4D9F4E37">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default"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《中华人民共和国旅游法》第八十三条、第八十五条等相应的法律、法规、规章。</w:t>
            </w:r>
          </w:p>
        </w:tc>
        <w:tc>
          <w:tcPr>
            <w:tcW w:w="1752" w:type="dxa"/>
            <w:tcBorders>
              <w:tl2br w:val="nil"/>
              <w:tr2bl w:val="nil"/>
            </w:tcBorders>
            <w:shd w:val="clear" w:color="auto" w:fill="auto"/>
            <w:noWrap/>
            <w:vAlign w:val="center"/>
          </w:tcPr>
          <w:p w14:paraId="1EB98AAC">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第二季度1家</w:t>
            </w:r>
          </w:p>
        </w:tc>
        <w:tc>
          <w:tcPr>
            <w:tcW w:w="1307" w:type="dxa"/>
            <w:tcBorders>
              <w:tl2br w:val="nil"/>
              <w:tr2bl w:val="nil"/>
            </w:tcBorders>
            <w:shd w:val="clear" w:color="auto" w:fill="auto"/>
            <w:noWrap/>
            <w:vAlign w:val="center"/>
          </w:tcPr>
          <w:p w14:paraId="47332424">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现场检查</w:t>
            </w:r>
          </w:p>
        </w:tc>
        <w:tc>
          <w:tcPr>
            <w:tcW w:w="1472" w:type="dxa"/>
            <w:tcBorders>
              <w:tl2br w:val="nil"/>
              <w:tr2bl w:val="nil"/>
            </w:tcBorders>
            <w:shd w:val="clear" w:color="auto" w:fill="auto"/>
            <w:noWrap/>
            <w:vAlign w:val="center"/>
          </w:tcPr>
          <w:p w14:paraId="5CE3DE9D">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彰武县市场监督管理局</w:t>
            </w:r>
          </w:p>
        </w:tc>
      </w:tr>
      <w:tr w14:paraId="334CA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70E855EA">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19</w:t>
            </w:r>
          </w:p>
        </w:tc>
        <w:tc>
          <w:tcPr>
            <w:tcW w:w="1356" w:type="dxa"/>
            <w:tcBorders>
              <w:tl2br w:val="nil"/>
              <w:tr2bl w:val="nil"/>
            </w:tcBorders>
            <w:noWrap/>
            <w:vAlign w:val="center"/>
          </w:tcPr>
          <w:p w14:paraId="71DA0456">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彰武县医疗保障局</w:t>
            </w:r>
          </w:p>
        </w:tc>
        <w:tc>
          <w:tcPr>
            <w:tcW w:w="2136" w:type="dxa"/>
            <w:tcBorders>
              <w:tl2br w:val="nil"/>
              <w:tr2bl w:val="nil"/>
            </w:tcBorders>
            <w:noWrap/>
            <w:vAlign w:val="center"/>
          </w:tcPr>
          <w:p w14:paraId="4F163ED7">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彰武县行政区内阜新市康尔医药连锁有限责任公司中心店等市场主体名录库114家，按照7%的比例随机抽取8家。</w:t>
            </w:r>
          </w:p>
        </w:tc>
        <w:tc>
          <w:tcPr>
            <w:tcW w:w="2544" w:type="dxa"/>
            <w:tcBorders>
              <w:tl2br w:val="nil"/>
              <w:tr2bl w:val="nil"/>
            </w:tcBorders>
            <w:noWrap/>
            <w:vAlign w:val="center"/>
          </w:tcPr>
          <w:p w14:paraId="47EEF6FC">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各类市场主体是否违反医疗保险相关法律、法规、规章等。</w:t>
            </w:r>
          </w:p>
        </w:tc>
        <w:tc>
          <w:tcPr>
            <w:tcW w:w="3168" w:type="dxa"/>
            <w:tcBorders>
              <w:tl2br w:val="nil"/>
              <w:tr2bl w:val="nil"/>
            </w:tcBorders>
            <w:noWrap/>
            <w:vAlign w:val="center"/>
          </w:tcPr>
          <w:p w14:paraId="2B68E1DA">
            <w:pPr>
              <w:keepNext w:val="0"/>
              <w:keepLines w:val="0"/>
              <w:pageBreakBefore w:val="0"/>
              <w:widowControl/>
              <w:kinsoku/>
              <w:wordWrap/>
              <w:overflowPunct/>
              <w:topLinePunct w:val="0"/>
              <w:autoSpaceDE/>
              <w:autoSpaceDN/>
              <w:bidi w:val="0"/>
              <w:adjustRightInd/>
              <w:spacing w:line="340" w:lineRule="exact"/>
              <w:jc w:val="both"/>
              <w:rPr>
                <w:rFonts w:hint="eastAsia" w:ascii="Calibri" w:hAnsi="Calibri" w:eastAsia="宋体" w:cs="Times New Roman"/>
                <w:kern w:val="2"/>
                <w:sz w:val="21"/>
                <w:szCs w:val="24"/>
                <w:highlight w:val="none"/>
                <w:lang w:val="en-US" w:eastAsia="zh-CN" w:bidi="ar-SA"/>
              </w:rPr>
            </w:pP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lang w:val="en-US" w:eastAsia="zh-CN"/>
              </w:rPr>
              <w:t>中华人民共和国社会保险法</w:t>
            </w:r>
            <w:r>
              <w:rPr>
                <w:rFonts w:hint="eastAsia" w:ascii="仿宋" w:hAnsi="仿宋" w:eastAsia="仿宋" w:cs="仿宋"/>
                <w:color w:val="000000"/>
                <w:kern w:val="0"/>
                <w:sz w:val="24"/>
                <w:szCs w:val="24"/>
                <w:highlight w:val="none"/>
                <w:lang w:eastAsia="zh-CN"/>
              </w:rPr>
              <w:t>》第七十七条、</w:t>
            </w:r>
            <w:r>
              <w:rPr>
                <w:rFonts w:hint="eastAsia" w:ascii="仿宋" w:hAnsi="仿宋" w:eastAsia="仿宋" w:cs="仿宋"/>
                <w:color w:val="000000"/>
                <w:kern w:val="0"/>
                <w:sz w:val="24"/>
                <w:szCs w:val="24"/>
                <w:highlight w:val="none"/>
                <w:lang w:val="en-US" w:eastAsia="zh-CN"/>
              </w:rPr>
              <w:t>第七十九条；《医疗保障基金使用监督管理条例》第二十七条、第二十八条等</w:t>
            </w:r>
            <w:r>
              <w:rPr>
                <w:rFonts w:hint="eastAsia" w:ascii="仿宋" w:hAnsi="仿宋" w:eastAsia="仿宋" w:cs="仿宋"/>
                <w:color w:val="000000"/>
                <w:sz w:val="24"/>
                <w:szCs w:val="24"/>
                <w:highlight w:val="none"/>
              </w:rPr>
              <w:t>相应的法律、法规、规章</w:t>
            </w:r>
            <w:r>
              <w:rPr>
                <w:rFonts w:hint="eastAsia" w:ascii="仿宋" w:hAnsi="仿宋" w:eastAsia="仿宋" w:cs="仿宋"/>
                <w:color w:val="000000"/>
                <w:sz w:val="24"/>
                <w:szCs w:val="24"/>
                <w:highlight w:val="none"/>
                <w:lang w:eastAsia="zh-CN"/>
              </w:rPr>
              <w:t>。</w:t>
            </w:r>
          </w:p>
        </w:tc>
        <w:tc>
          <w:tcPr>
            <w:tcW w:w="1752" w:type="dxa"/>
            <w:tcBorders>
              <w:tl2br w:val="nil"/>
              <w:tr2bl w:val="nil"/>
            </w:tcBorders>
            <w:noWrap/>
            <w:vAlign w:val="center"/>
          </w:tcPr>
          <w:p w14:paraId="6C70E01F">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第一季度2家</w:t>
            </w:r>
          </w:p>
          <w:p w14:paraId="7DC9EB01">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第二季度2家</w:t>
            </w:r>
          </w:p>
          <w:p w14:paraId="113AA85A">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第三季度2家</w:t>
            </w:r>
          </w:p>
          <w:p w14:paraId="0FBC29A3">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第四季度2家</w:t>
            </w:r>
          </w:p>
        </w:tc>
        <w:tc>
          <w:tcPr>
            <w:tcW w:w="1307" w:type="dxa"/>
            <w:tcBorders>
              <w:tl2br w:val="nil"/>
              <w:tr2bl w:val="nil"/>
            </w:tcBorders>
            <w:noWrap/>
            <w:vAlign w:val="center"/>
          </w:tcPr>
          <w:p w14:paraId="594EAE34">
            <w:pPr>
              <w:keepNext w:val="0"/>
              <w:keepLines w:val="0"/>
              <w:pageBreakBefore w:val="0"/>
              <w:widowControl/>
              <w:kinsoku/>
              <w:wordWrap/>
              <w:overflowPunct/>
              <w:topLinePunct w:val="0"/>
              <w:autoSpaceDE/>
              <w:autoSpaceDN/>
              <w:bidi w:val="0"/>
              <w:adjustRightInd/>
              <w:spacing w:line="340" w:lineRule="exact"/>
              <w:jc w:val="both"/>
              <w:rPr>
                <w:rFonts w:hint="default"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现场检查</w:t>
            </w:r>
          </w:p>
        </w:tc>
        <w:tc>
          <w:tcPr>
            <w:tcW w:w="1472" w:type="dxa"/>
            <w:tcBorders>
              <w:tl2br w:val="nil"/>
              <w:tr2bl w:val="nil"/>
            </w:tcBorders>
            <w:noWrap/>
            <w:vAlign w:val="center"/>
          </w:tcPr>
          <w:p w14:paraId="3EAA2311">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彰武县市场监督管理局</w:t>
            </w:r>
          </w:p>
        </w:tc>
      </w:tr>
      <w:tr w14:paraId="4C5DA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266FEBB1">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20</w:t>
            </w:r>
          </w:p>
        </w:tc>
        <w:tc>
          <w:tcPr>
            <w:tcW w:w="1356" w:type="dxa"/>
            <w:tcBorders>
              <w:tl2br w:val="nil"/>
              <w:tr2bl w:val="nil"/>
            </w:tcBorders>
            <w:noWrap/>
            <w:vAlign w:val="center"/>
          </w:tcPr>
          <w:p w14:paraId="1F5F3278">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彰武县住房和城乡建设局</w:t>
            </w:r>
          </w:p>
        </w:tc>
        <w:tc>
          <w:tcPr>
            <w:tcW w:w="2136" w:type="dxa"/>
            <w:tcBorders>
              <w:tl2br w:val="nil"/>
              <w:tr2bl w:val="nil"/>
            </w:tcBorders>
            <w:noWrap/>
            <w:vAlign w:val="center"/>
          </w:tcPr>
          <w:p w14:paraId="54EB702D">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彰武县行政区域内所有在建房屋建筑和市政基础设施工程建设项目，按照不超过20%的比例随机抽取1家。</w:t>
            </w:r>
          </w:p>
        </w:tc>
        <w:tc>
          <w:tcPr>
            <w:tcW w:w="2544" w:type="dxa"/>
            <w:tcBorders>
              <w:tl2br w:val="nil"/>
              <w:tr2bl w:val="nil"/>
            </w:tcBorders>
            <w:noWrap/>
            <w:vAlign w:val="center"/>
          </w:tcPr>
          <w:p w14:paraId="66F1D353">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rPr>
              <w:t>各类市场主体是否违反建设工程质量、建设工程安全生产管理、建设工程招标投标</w:t>
            </w:r>
            <w:r>
              <w:rPr>
                <w:rFonts w:hint="eastAsia" w:ascii="仿宋" w:hAnsi="仿宋" w:eastAsia="仿宋" w:cs="仿宋"/>
                <w:color w:val="000000"/>
                <w:kern w:val="0"/>
                <w:sz w:val="24"/>
                <w:szCs w:val="24"/>
                <w:highlight w:val="none"/>
                <w:lang w:eastAsia="zh-CN"/>
              </w:rPr>
              <w:t>法等</w:t>
            </w:r>
            <w:r>
              <w:rPr>
                <w:rFonts w:hint="eastAsia" w:ascii="仿宋" w:hAnsi="仿宋" w:eastAsia="仿宋" w:cs="仿宋"/>
                <w:color w:val="000000"/>
                <w:kern w:val="0"/>
                <w:sz w:val="24"/>
                <w:szCs w:val="24"/>
                <w:highlight w:val="none"/>
              </w:rPr>
              <w:t>相关法律、法规、规章等。</w:t>
            </w:r>
          </w:p>
        </w:tc>
        <w:tc>
          <w:tcPr>
            <w:tcW w:w="3168" w:type="dxa"/>
            <w:tcBorders>
              <w:tl2br w:val="nil"/>
              <w:tr2bl w:val="nil"/>
            </w:tcBorders>
            <w:noWrap/>
            <w:vAlign w:val="center"/>
          </w:tcPr>
          <w:p w14:paraId="504C5304">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rPr>
              <w:t>《建设工程质量管理条例》第四十三条、第四十七条、第四十八条</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《建设工程安全生产管理条例》第四十三条、第四十四条</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《中华人民共和国招标投标法》第七条</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《中华人民共和国招标投标法实施条例》第四条</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《房屋建筑和市政基础设施工程施工招标投标管理办法》第六条等相应的法律、法规、规章。</w:t>
            </w:r>
          </w:p>
        </w:tc>
        <w:tc>
          <w:tcPr>
            <w:tcW w:w="1752" w:type="dxa"/>
            <w:tcBorders>
              <w:tl2br w:val="nil"/>
              <w:tr2bl w:val="nil"/>
            </w:tcBorders>
            <w:noWrap/>
            <w:vAlign w:val="center"/>
          </w:tcPr>
          <w:p w14:paraId="28693327">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第三季度1家</w:t>
            </w:r>
          </w:p>
        </w:tc>
        <w:tc>
          <w:tcPr>
            <w:tcW w:w="1307" w:type="dxa"/>
            <w:tcBorders>
              <w:tl2br w:val="nil"/>
              <w:tr2bl w:val="nil"/>
            </w:tcBorders>
            <w:noWrap/>
            <w:vAlign w:val="center"/>
          </w:tcPr>
          <w:p w14:paraId="356DC640">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rPr>
              <w:t>现场调阅审查或查验</w:t>
            </w:r>
          </w:p>
        </w:tc>
        <w:tc>
          <w:tcPr>
            <w:tcW w:w="1472" w:type="dxa"/>
            <w:tcBorders>
              <w:tl2br w:val="nil"/>
              <w:tr2bl w:val="nil"/>
            </w:tcBorders>
            <w:noWrap/>
            <w:vAlign w:val="center"/>
          </w:tcPr>
          <w:p w14:paraId="2A057238">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彰武县市场监督管理局</w:t>
            </w:r>
          </w:p>
        </w:tc>
      </w:tr>
      <w:tr w14:paraId="0CD16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718" w:type="dxa"/>
            <w:tcBorders>
              <w:tl2br w:val="nil"/>
              <w:tr2bl w:val="nil"/>
            </w:tcBorders>
            <w:noWrap/>
            <w:vAlign w:val="center"/>
          </w:tcPr>
          <w:p w14:paraId="17B10A0B">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21</w:t>
            </w:r>
          </w:p>
        </w:tc>
        <w:tc>
          <w:tcPr>
            <w:tcW w:w="1356" w:type="dxa"/>
            <w:tcBorders>
              <w:tl2br w:val="nil"/>
              <w:tr2bl w:val="nil"/>
            </w:tcBorders>
            <w:noWrap/>
            <w:vAlign w:val="center"/>
          </w:tcPr>
          <w:p w14:paraId="521F0AA8">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彰武县自然资源局</w:t>
            </w:r>
          </w:p>
        </w:tc>
        <w:tc>
          <w:tcPr>
            <w:tcW w:w="2136" w:type="dxa"/>
            <w:tcBorders>
              <w:tl2br w:val="nil"/>
              <w:tr2bl w:val="nil"/>
            </w:tcBorders>
            <w:noWrap/>
            <w:vAlign w:val="center"/>
          </w:tcPr>
          <w:p w14:paraId="59BFBD90">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彰武县行政区划内采矿许可证有效期内矿山企业（彰武县腾达硅砂有限公司等14家）名录库中，按不超过20%比例抽取2家。</w:t>
            </w:r>
          </w:p>
        </w:tc>
        <w:tc>
          <w:tcPr>
            <w:tcW w:w="2544" w:type="dxa"/>
            <w:tcBorders>
              <w:tl2br w:val="nil"/>
              <w:tr2bl w:val="nil"/>
            </w:tcBorders>
            <w:noWrap/>
            <w:vAlign w:val="center"/>
          </w:tcPr>
          <w:p w14:paraId="2DA870A5">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土地监督检查</w:t>
            </w:r>
          </w:p>
        </w:tc>
        <w:tc>
          <w:tcPr>
            <w:tcW w:w="3168" w:type="dxa"/>
            <w:tcBorders>
              <w:tl2br w:val="nil"/>
              <w:tr2bl w:val="nil"/>
            </w:tcBorders>
            <w:noWrap/>
            <w:vAlign w:val="center"/>
          </w:tcPr>
          <w:p w14:paraId="4E38C111">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《中华人民共和国土地管理法》第六十七条、第六十八条</w:t>
            </w:r>
            <w:r>
              <w:rPr>
                <w:rFonts w:hint="eastAsia" w:ascii="仿宋" w:hAnsi="仿宋" w:eastAsia="仿宋" w:cs="仿宋"/>
                <w:color w:val="000000"/>
                <w:kern w:val="0"/>
                <w:sz w:val="24"/>
                <w:szCs w:val="24"/>
                <w:highlight w:val="none"/>
              </w:rPr>
              <w:t>等相应的法律、法规、规章等。</w:t>
            </w:r>
          </w:p>
        </w:tc>
        <w:tc>
          <w:tcPr>
            <w:tcW w:w="1752" w:type="dxa"/>
            <w:tcBorders>
              <w:tl2br w:val="nil"/>
              <w:tr2bl w:val="nil"/>
            </w:tcBorders>
            <w:noWrap/>
            <w:vAlign w:val="center"/>
          </w:tcPr>
          <w:p w14:paraId="64F9BA39">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4月份2家</w:t>
            </w:r>
          </w:p>
        </w:tc>
        <w:tc>
          <w:tcPr>
            <w:tcW w:w="1307" w:type="dxa"/>
            <w:tcBorders>
              <w:tl2br w:val="nil"/>
              <w:tr2bl w:val="nil"/>
            </w:tcBorders>
            <w:noWrap/>
            <w:vAlign w:val="center"/>
          </w:tcPr>
          <w:p w14:paraId="3F966F00">
            <w:pPr>
              <w:keepNext w:val="0"/>
              <w:keepLines w:val="0"/>
              <w:pageBreakBefore w:val="0"/>
              <w:widowControl/>
              <w:kinsoku/>
              <w:wordWrap/>
              <w:overflowPunct/>
              <w:topLinePunct w:val="0"/>
              <w:autoSpaceDE/>
              <w:autoSpaceDN/>
              <w:bidi w:val="0"/>
              <w:adjustRightInd/>
              <w:spacing w:line="340" w:lineRule="exact"/>
              <w:jc w:val="both"/>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现场实地检查</w:t>
            </w:r>
          </w:p>
        </w:tc>
        <w:tc>
          <w:tcPr>
            <w:tcW w:w="1472" w:type="dxa"/>
            <w:tcBorders>
              <w:tl2br w:val="nil"/>
              <w:tr2bl w:val="nil"/>
            </w:tcBorders>
            <w:noWrap/>
            <w:vAlign w:val="center"/>
          </w:tcPr>
          <w:p w14:paraId="70500733">
            <w:pPr>
              <w:keepNext w:val="0"/>
              <w:keepLines w:val="0"/>
              <w:pageBreakBefore w:val="0"/>
              <w:widowControl/>
              <w:kinsoku/>
              <w:wordWrap/>
              <w:overflowPunct/>
              <w:topLinePunct w:val="0"/>
              <w:autoSpaceDE/>
              <w:autoSpaceDN/>
              <w:bidi w:val="0"/>
              <w:adjustRightInd/>
              <w:snapToGrid/>
              <w:spacing w:line="340" w:lineRule="exact"/>
              <w:jc w:val="both"/>
              <w:textAlignment w:val="auto"/>
              <w:rPr>
                <w:rFonts w:hint="eastAsia" w:ascii="仿宋" w:hAnsi="仿宋" w:eastAsia="仿宋" w:cs="仿宋"/>
                <w:color w:val="000000"/>
                <w:kern w:val="0"/>
                <w:sz w:val="24"/>
                <w:szCs w:val="24"/>
                <w:highlight w:val="none"/>
              </w:rPr>
            </w:pPr>
          </w:p>
        </w:tc>
      </w:tr>
    </w:tbl>
    <w:p w14:paraId="3BAB8AFF">
      <w:pPr>
        <w:pStyle w:val="2"/>
        <w:pageBreakBefore w:val="0"/>
        <w:widowControl w:val="0"/>
        <w:kinsoku/>
        <w:wordWrap/>
        <w:overflowPunct/>
        <w:topLinePunct w:val="0"/>
        <w:autoSpaceDE/>
        <w:autoSpaceDN/>
        <w:bidi w:val="0"/>
        <w:adjustRightInd w:val="0"/>
        <w:snapToGrid w:val="0"/>
        <w:spacing w:line="560" w:lineRule="exact"/>
        <w:ind w:left="0" w:leftChars="0" w:firstLine="0" w:firstLineChars="0"/>
        <w:textAlignment w:val="auto"/>
        <w:rPr>
          <w:rFonts w:hint="eastAsia" w:ascii="仿宋_GB2312" w:hAnsi="仿宋_GB2312" w:eastAsia="仿宋_GB2312" w:cs="仿宋_GB2312"/>
          <w:sz w:val="34"/>
          <w:szCs w:val="34"/>
          <w:lang w:val="en-US" w:eastAsia="zh-CN"/>
        </w:rPr>
      </w:pPr>
    </w:p>
    <w:sectPr>
      <w:footerReference r:id="rId3" w:type="default"/>
      <w:pgSz w:w="16838" w:h="11906" w:orient="landscape"/>
      <w:pgMar w:top="1531" w:right="2098" w:bottom="1531" w:left="1984" w:header="851" w:footer="1587" w:gutter="0"/>
      <w:pgBorders>
        <w:top w:val="none" w:sz="0" w:space="0"/>
        <w:left w:val="none" w:sz="0" w:space="0"/>
        <w:bottom w:val="none" w:sz="0" w:space="0"/>
        <w:right w:val="none" w:sz="0" w:space="0"/>
      </w:pgBorders>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46C31">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462243">
                          <w:pPr>
                            <w:pStyle w:val="5"/>
                            <w:rPr>
                              <w:rFonts w:hint="default" w:ascii="宋体" w:hAnsi="宋体" w:eastAsia="宋体" w:cs="宋体"/>
                              <w:sz w:val="28"/>
                              <w:szCs w:val="28"/>
                              <w:lang w:val="en-US" w:eastAsia="zh-CN"/>
                            </w:rPr>
                          </w:pPr>
                          <w:r>
                            <w:rPr>
                              <w:rFonts w:hint="eastAsia" w:ascii="宋体" w:hAnsi="宋体" w:eastAsia="宋体" w:cs="宋体"/>
                              <w:color w:val="FFFFFF" w:themeColor="background1"/>
                              <w:sz w:val="28"/>
                              <w:szCs w:val="28"/>
                              <w:lang w:val="en-US" w:eastAsia="zh-CN"/>
                              <w14:textFill>
                                <w14:solidFill>
                                  <w14:schemeClr w14:val="bg1"/>
                                </w14:solidFill>
                              </w14:textFill>
                            </w:rPr>
                            <w:t>啊</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color w:val="FFFFFF" w:themeColor="background1"/>
                              <w:sz w:val="28"/>
                              <w:szCs w:val="28"/>
                              <w:lang w:val="en-US" w:eastAsia="zh-CN"/>
                              <w14:textFill>
                                <w14:solidFill>
                                  <w14:schemeClr w14:val="bg1"/>
                                </w14:solidFill>
                              </w14:textFill>
                            </w:rPr>
                            <w:t>啊</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B462243">
                    <w:pPr>
                      <w:pStyle w:val="5"/>
                      <w:rPr>
                        <w:rFonts w:hint="default" w:ascii="宋体" w:hAnsi="宋体" w:eastAsia="宋体" w:cs="宋体"/>
                        <w:sz w:val="28"/>
                        <w:szCs w:val="28"/>
                        <w:lang w:val="en-US" w:eastAsia="zh-CN"/>
                      </w:rPr>
                    </w:pPr>
                    <w:r>
                      <w:rPr>
                        <w:rFonts w:hint="eastAsia" w:ascii="宋体" w:hAnsi="宋体" w:eastAsia="宋体" w:cs="宋体"/>
                        <w:color w:val="FFFFFF" w:themeColor="background1"/>
                        <w:sz w:val="28"/>
                        <w:szCs w:val="28"/>
                        <w:lang w:val="en-US" w:eastAsia="zh-CN"/>
                        <w14:textFill>
                          <w14:solidFill>
                            <w14:schemeClr w14:val="bg1"/>
                          </w14:solidFill>
                        </w14:textFill>
                      </w:rPr>
                      <w:t>啊</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color w:val="FFFFFF" w:themeColor="background1"/>
                        <w:sz w:val="28"/>
                        <w:szCs w:val="28"/>
                        <w:lang w:val="en-US" w:eastAsia="zh-CN"/>
                        <w14:textFill>
                          <w14:solidFill>
                            <w14:schemeClr w14:val="bg1"/>
                          </w14:solidFill>
                        </w14:textFill>
                      </w:rPr>
                      <w:t>啊</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5Yzk2ODE4NzgwMTQ4ODIwNWRhNThjZjY4NGRkMzcifQ=="/>
  </w:docVars>
  <w:rsids>
    <w:rsidRoot w:val="00000000"/>
    <w:rsid w:val="043524FC"/>
    <w:rsid w:val="0FD30332"/>
    <w:rsid w:val="16463E22"/>
    <w:rsid w:val="16603F07"/>
    <w:rsid w:val="16D20A39"/>
    <w:rsid w:val="170D64B1"/>
    <w:rsid w:val="1D375943"/>
    <w:rsid w:val="1F9A4416"/>
    <w:rsid w:val="20751766"/>
    <w:rsid w:val="233A4A2F"/>
    <w:rsid w:val="2384710C"/>
    <w:rsid w:val="2548511A"/>
    <w:rsid w:val="27E92EE8"/>
    <w:rsid w:val="282F4538"/>
    <w:rsid w:val="3014090E"/>
    <w:rsid w:val="3A254B75"/>
    <w:rsid w:val="3A255015"/>
    <w:rsid w:val="3B130F84"/>
    <w:rsid w:val="452F1669"/>
    <w:rsid w:val="4E3AF362"/>
    <w:rsid w:val="4E683340"/>
    <w:rsid w:val="55CB3D55"/>
    <w:rsid w:val="56533491"/>
    <w:rsid w:val="5CCE090A"/>
    <w:rsid w:val="5D026F16"/>
    <w:rsid w:val="5E975F4A"/>
    <w:rsid w:val="705C7489"/>
    <w:rsid w:val="71973F7C"/>
    <w:rsid w:val="78A71E11"/>
    <w:rsid w:val="97BF1292"/>
    <w:rsid w:val="BFEFE8D8"/>
    <w:rsid w:val="EEBDA3F5"/>
    <w:rsid w:val="FFFE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adjustRightInd w:val="0"/>
      <w:snapToGrid w:val="0"/>
      <w:spacing w:beforeLines="50" w:afterLines="50" w:line="360" w:lineRule="auto"/>
      <w:ind w:firstLine="200" w:firstLineChars="200"/>
      <w:outlineLvl w:val="1"/>
    </w:pPr>
    <w:rPr>
      <w:rFonts w:ascii="Cambria" w:hAnsi="Cambria" w:eastAsia="仿宋_GB2312"/>
      <w:b/>
      <w:sz w:val="32"/>
      <w:szCs w:val="32"/>
    </w:rPr>
  </w:style>
  <w:style w:type="character" w:default="1" w:styleId="9">
    <w:name w:val="Default Paragraph Font"/>
    <w:link w:val="10"/>
    <w:semiHidden/>
    <w:qFormat/>
    <w:uiPriority w:val="0"/>
    <w:rPr>
      <w:rFonts w:ascii="Verdana" w:hAnsi="Verdana" w:eastAsia="仿宋_GB2312" w:cs="Verdana"/>
      <w:kern w:val="0"/>
      <w:sz w:val="24"/>
      <w:lang w:eastAsia="en-US"/>
    </w:rPr>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Indent"/>
    <w:basedOn w:val="1"/>
    <w:next w:val="4"/>
    <w:qFormat/>
    <w:uiPriority w:val="0"/>
    <w:pPr>
      <w:ind w:firstLine="630"/>
    </w:pPr>
  </w:style>
  <w:style w:type="paragraph" w:styleId="4">
    <w:name w:val="header"/>
    <w:basedOn w:val="1"/>
    <w:next w:val="5"/>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footer"/>
    <w:basedOn w:val="1"/>
    <w:next w:val="1"/>
    <w:qFormat/>
    <w:uiPriority w:val="0"/>
    <w:pPr>
      <w:tabs>
        <w:tab w:val="center" w:pos="4153"/>
        <w:tab w:val="right" w:pos="8306"/>
      </w:tabs>
      <w:snapToGrid w:val="0"/>
      <w:jc w:val="left"/>
    </w:pPr>
    <w:rPr>
      <w:sz w:val="18"/>
    </w:rPr>
  </w:style>
  <w:style w:type="paragraph" w:styleId="6">
    <w:name w:val="toc 1"/>
    <w:basedOn w:val="1"/>
    <w:next w:val="1"/>
    <w:qFormat/>
    <w:uiPriority w:val="0"/>
  </w:style>
  <w:style w:type="paragraph" w:styleId="7">
    <w:name w:val="Title"/>
    <w:basedOn w:val="1"/>
    <w:next w:val="3"/>
    <w:qFormat/>
    <w:uiPriority w:val="0"/>
    <w:pPr>
      <w:spacing w:line="0" w:lineRule="atLeast"/>
      <w:jc w:val="center"/>
    </w:pPr>
    <w:rPr>
      <w:rFonts w:ascii="Arial" w:hAnsi="Arial" w:eastAsia="黑体"/>
      <w:sz w:val="52"/>
    </w:rPr>
  </w:style>
  <w:style w:type="paragraph" w:customStyle="1" w:styleId="10">
    <w:name w:val="Char Char Char Char Char Char Char Char Char Char Char Char Char Char Char Char Char Char Char Char Char Char Char Char Char Char Char Char Char Char Char Char Char"/>
    <w:basedOn w:val="1"/>
    <w:link w:val="9"/>
    <w:qFormat/>
    <w:uiPriority w:val="0"/>
    <w:pPr>
      <w:widowControl/>
      <w:spacing w:after="160" w:afterLines="0" w:line="240" w:lineRule="exact"/>
      <w:jc w:val="left"/>
    </w:pPr>
    <w:rPr>
      <w:rFonts w:ascii="Verdana" w:hAnsi="Verdana" w:eastAsia="仿宋_GB2312" w:cs="Verdana"/>
      <w:kern w:val="0"/>
      <w:sz w:val="24"/>
      <w:lang w:eastAsia="en-US"/>
    </w:rPr>
  </w:style>
  <w:style w:type="character" w:styleId="11">
    <w:name w:val="Strong"/>
    <w:basedOn w:val="9"/>
    <w:qFormat/>
    <w:uiPriority w:val="0"/>
    <w:rPr>
      <w:b/>
      <w:bCs/>
    </w:rPr>
  </w:style>
  <w:style w:type="character" w:styleId="12">
    <w:name w:val="page number"/>
    <w:basedOn w:val="9"/>
    <w:qFormat/>
    <w:uiPriority w:val="0"/>
  </w:style>
  <w:style w:type="paragraph" w:customStyle="1" w:styleId="13">
    <w:name w:val="正文文本1"/>
    <w:basedOn w:val="1"/>
    <w:qFormat/>
    <w:uiPriority w:val="0"/>
    <w:pPr>
      <w:spacing w:before="0" w:beforeAutospacing="0" w:after="140" w:afterAutospacing="0" w:line="276" w:lineRule="auto"/>
    </w:pPr>
  </w:style>
  <w:style w:type="paragraph" w:customStyle="1" w:styleId="1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5">
    <w:name w:val="正文首行缩进 21"/>
    <w:basedOn w:val="3"/>
    <w:next w:val="1"/>
    <w:qFormat/>
    <w:uiPriority w:val="0"/>
    <w:pPr>
      <w:spacing w:before="100" w:beforeAutospacing="1" w:after="120"/>
      <w:ind w:left="420" w:leftChars="200" w:firstLine="420" w:firstLineChars="200"/>
    </w:pPr>
    <w:rPr>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4992</Words>
  <Characters>5118</Characters>
  <Lines>0</Lines>
  <Paragraphs>0</Paragraphs>
  <TotalTime>53</TotalTime>
  <ScaleCrop>false</ScaleCrop>
  <LinksUpToDate>false</LinksUpToDate>
  <CharactersWithSpaces>5165</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2024-01-06T23:44:00Z</dcterms:created>
  <dc:creator>Administrator</dc:creator>
  <cp:lastModifiedBy>Administrator</cp:lastModifiedBy>
  <cp:lastPrinted>2024-01-09T17:25:00Z</cp:lastPrinted>
  <dcterms:modified xsi:type="dcterms:W3CDTF">2026-06-02T06:23:54Z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99192D0B7B694EFCB2725D4D9B772397_13</vt:lpwstr>
  </property>
  <property fmtid="{D5CDD505-2E9C-101B-9397-08002B2CF9AE}" pid="4" name="KSOTemplateDocerSaveRecord">
    <vt:lpwstr>eyJoZGlkIjoiYzQ5Yzk2ODE4NzgwMTQ4ODIwNWRhNThjZjY4NGRkMzciLCJ1c2VySWQiOiI0MzYyMTYxOTkifQ==</vt:lpwstr>
  </property>
</Properties>
</file>